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</w:t>
      </w:r>
      <w:r w:rsidR="002C76E8">
        <w:rPr>
          <w:rFonts w:ascii="Arial" w:eastAsia="맑은 고딕" w:hAnsi="Arial" w:hint="eastAsia"/>
          <w:b/>
          <w:noProof/>
          <w:sz w:val="24"/>
        </w:rPr>
        <w:t xml:space="preserve"> </w:t>
      </w:r>
      <w:r w:rsidRPr="00670ECC">
        <w:rPr>
          <w:rFonts w:ascii="Arial" w:eastAsia="맑은 고딕" w:hAnsi="Arial"/>
          <w:b/>
          <w:noProof/>
          <w:sz w:val="24"/>
        </w:rPr>
        <w:t>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2C76E8">
        <w:rPr>
          <w:rFonts w:ascii="Arial" w:eastAsia="맑은 고딕" w:hAnsi="Arial"/>
          <w:b/>
          <w:noProof/>
          <w:sz w:val="24"/>
        </w:rPr>
        <w:t xml:space="preserve"> </w:t>
      </w:r>
      <w:r w:rsidR="00026FA5">
        <w:rPr>
          <w:rFonts w:ascii="Arial" w:eastAsia="맑은 고딕" w:hAnsi="Arial" w:hint="eastAsia"/>
          <w:b/>
          <w:noProof/>
          <w:sz w:val="24"/>
        </w:rPr>
        <w:t>#98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Pr="00153761">
        <w:rPr>
          <w:rFonts w:ascii="Arial" w:eastAsia="맑은 고딕" w:hAnsi="Arial"/>
          <w:b/>
          <w:i/>
          <w:noProof/>
          <w:color w:val="000000"/>
          <w:sz w:val="28"/>
        </w:rPr>
        <w:t>R</w:t>
      </w:r>
      <w:r w:rsidRPr="00153761">
        <w:rPr>
          <w:rFonts w:ascii="Arial" w:eastAsia="맑은 고딕" w:hAnsi="Arial" w:hint="eastAsia"/>
          <w:b/>
          <w:i/>
          <w:noProof/>
          <w:color w:val="000000"/>
          <w:sz w:val="28"/>
        </w:rPr>
        <w:t>2</w:t>
      </w:r>
      <w:r w:rsidRPr="00153761">
        <w:rPr>
          <w:rFonts w:ascii="Arial" w:eastAsia="맑은 고딕" w:hAnsi="Arial"/>
          <w:b/>
          <w:i/>
          <w:noProof/>
          <w:color w:val="000000"/>
          <w:sz w:val="28"/>
        </w:rPr>
        <w:t>-</w:t>
      </w:r>
      <w:r w:rsidRPr="00153761">
        <w:rPr>
          <w:rFonts w:ascii="Arial" w:eastAsia="맑은 고딕" w:hAnsi="Arial" w:hint="eastAsia"/>
          <w:b/>
          <w:i/>
          <w:noProof/>
          <w:color w:val="000000"/>
          <w:sz w:val="28"/>
        </w:rPr>
        <w:t>1</w:t>
      </w:r>
      <w:r w:rsidR="00086E26" w:rsidRPr="00153761">
        <w:rPr>
          <w:rFonts w:ascii="Arial" w:eastAsia="맑은 고딕" w:hAnsi="Arial" w:hint="eastAsia"/>
          <w:b/>
          <w:i/>
          <w:noProof/>
          <w:color w:val="000000"/>
          <w:sz w:val="28"/>
        </w:rPr>
        <w:t>7</w:t>
      </w:r>
      <w:r w:rsidR="00153761" w:rsidRPr="00153761">
        <w:rPr>
          <w:rFonts w:ascii="Arial" w:eastAsia="맑은 고딕" w:hAnsi="Arial" w:hint="eastAsia"/>
          <w:b/>
          <w:i/>
          <w:noProof/>
          <w:color w:val="000000"/>
          <w:sz w:val="28"/>
        </w:rPr>
        <w:t>05826</w:t>
      </w:r>
    </w:p>
    <w:p w:rsidR="00067A5F" w:rsidRPr="009045BA" w:rsidRDefault="00026FA5" w:rsidP="00067A5F">
      <w:pPr>
        <w:pStyle w:val="CRCoverPage"/>
        <w:spacing w:after="240"/>
        <w:rPr>
          <w:b/>
          <w:i/>
          <w:sz w:val="32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Hangzhou, China</w:t>
      </w:r>
      <w:r w:rsidR="00A91A94"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, </w:t>
      </w:r>
      <w:r>
        <w:rPr>
          <w:rFonts w:eastAsia="맑은 고딕" w:cs="Arial" w:hint="eastAsia"/>
          <w:b/>
          <w:sz w:val="24"/>
          <w:szCs w:val="24"/>
          <w:lang w:eastAsia="ko-KR"/>
        </w:rPr>
        <w:t>15</w:t>
      </w:r>
      <w:r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A91A94"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to </w:t>
      </w:r>
      <w:r>
        <w:rPr>
          <w:rFonts w:eastAsia="맑은 고딕" w:cs="Arial" w:hint="eastAsia"/>
          <w:b/>
          <w:sz w:val="24"/>
          <w:szCs w:val="24"/>
          <w:lang w:eastAsia="ko-KR"/>
        </w:rPr>
        <w:t>19</w:t>
      </w:r>
      <w:r w:rsidR="00A91A94"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A21EA8">
        <w:rPr>
          <w:rFonts w:eastAsia="맑은 고딕" w:cs="Arial" w:hint="eastAsia"/>
          <w:b/>
          <w:sz w:val="24"/>
          <w:szCs w:val="24"/>
          <w:lang w:eastAsia="ko-KR"/>
        </w:rPr>
        <w:t xml:space="preserve"> 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May </w:t>
      </w:r>
      <w:r w:rsidR="00A21EA8">
        <w:rPr>
          <w:rFonts w:eastAsia="맑은 고딕" w:cs="Arial" w:hint="eastAsia"/>
          <w:b/>
          <w:sz w:val="24"/>
          <w:szCs w:val="24"/>
          <w:lang w:eastAsia="ko-KR"/>
        </w:rPr>
        <w:t>2017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090FC8">
        <w:rPr>
          <w:rFonts w:hint="eastAsia"/>
          <w:b/>
          <w:noProof/>
          <w:sz w:val="24"/>
          <w:lang w:eastAsia="ko-KR"/>
        </w:rPr>
        <w:t>10.4.1.4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104D01" w:rsidRPr="00090FC8" w:rsidRDefault="00067A5F" w:rsidP="00104D01">
      <w:pPr>
        <w:pStyle w:val="CRCoverPage"/>
        <w:spacing w:after="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59334D" w:rsidRPr="00090FC8">
        <w:rPr>
          <w:b/>
          <w:noProof/>
          <w:sz w:val="24"/>
          <w:lang w:eastAsia="ko-KR"/>
        </w:rPr>
        <w:t xml:space="preserve">Speed </w:t>
      </w:r>
      <w:r w:rsidR="00104D01" w:rsidRPr="00090FC8">
        <w:rPr>
          <w:rFonts w:hint="eastAsia"/>
          <w:b/>
          <w:noProof/>
          <w:sz w:val="24"/>
          <w:lang w:eastAsia="ko-KR"/>
        </w:rPr>
        <w:t>D</w:t>
      </w:r>
      <w:r w:rsidR="0059334D" w:rsidRPr="00090FC8">
        <w:rPr>
          <w:b/>
          <w:noProof/>
          <w:sz w:val="24"/>
          <w:lang w:eastAsia="ko-KR"/>
        </w:rPr>
        <w:t>epend</w:t>
      </w:r>
      <w:r w:rsidR="002408F7">
        <w:rPr>
          <w:rFonts w:hint="eastAsia"/>
          <w:b/>
          <w:noProof/>
          <w:sz w:val="24"/>
          <w:lang w:eastAsia="ko-KR"/>
        </w:rPr>
        <w:t>e</w:t>
      </w:r>
      <w:r w:rsidR="0059334D" w:rsidRPr="00090FC8">
        <w:rPr>
          <w:b/>
          <w:noProof/>
          <w:sz w:val="24"/>
          <w:lang w:eastAsia="ko-KR"/>
        </w:rPr>
        <w:t xml:space="preserve">nt </w:t>
      </w:r>
      <w:r w:rsidR="00104D01" w:rsidRPr="00090FC8">
        <w:rPr>
          <w:rFonts w:hint="eastAsia"/>
          <w:b/>
          <w:noProof/>
          <w:sz w:val="24"/>
          <w:lang w:eastAsia="ko-KR"/>
        </w:rPr>
        <w:t>S</w:t>
      </w:r>
      <w:r w:rsidR="0059334D" w:rsidRPr="00090FC8">
        <w:rPr>
          <w:b/>
          <w:noProof/>
          <w:sz w:val="24"/>
          <w:lang w:eastAsia="ko-KR"/>
        </w:rPr>
        <w:t xml:space="preserve">caling of </w:t>
      </w:r>
      <w:r w:rsidR="00104D01" w:rsidRPr="00090FC8">
        <w:rPr>
          <w:rFonts w:hint="eastAsia"/>
          <w:b/>
          <w:noProof/>
          <w:sz w:val="24"/>
          <w:lang w:eastAsia="ko-KR"/>
        </w:rPr>
        <w:t>M</w:t>
      </w:r>
      <w:r w:rsidR="0059334D" w:rsidRPr="00090FC8">
        <w:rPr>
          <w:b/>
          <w:noProof/>
          <w:sz w:val="24"/>
          <w:lang w:eastAsia="ko-KR"/>
        </w:rPr>
        <w:t xml:space="preserve">easurement </w:t>
      </w:r>
      <w:r w:rsidR="00104D01" w:rsidRPr="00090FC8">
        <w:rPr>
          <w:rFonts w:hint="eastAsia"/>
          <w:b/>
          <w:noProof/>
          <w:sz w:val="24"/>
          <w:lang w:eastAsia="ko-KR"/>
        </w:rPr>
        <w:t>R</w:t>
      </w:r>
      <w:r w:rsidR="0059334D" w:rsidRPr="00090FC8">
        <w:rPr>
          <w:b/>
          <w:noProof/>
          <w:sz w:val="24"/>
          <w:lang w:eastAsia="ko-KR"/>
        </w:rPr>
        <w:t xml:space="preserve">elated </w:t>
      </w:r>
      <w:r w:rsidR="00104D01" w:rsidRPr="00090FC8">
        <w:rPr>
          <w:rFonts w:hint="eastAsia"/>
          <w:b/>
          <w:noProof/>
          <w:sz w:val="24"/>
          <w:lang w:eastAsia="ko-KR"/>
        </w:rPr>
        <w:t>P</w:t>
      </w:r>
      <w:r w:rsidR="00104D01" w:rsidRPr="00090FC8">
        <w:rPr>
          <w:b/>
          <w:noProof/>
          <w:sz w:val="24"/>
          <w:lang w:eastAsia="ko-KR"/>
        </w:rPr>
        <w:t>arameters</w:t>
      </w:r>
    </w:p>
    <w:p w:rsidR="00C87F7D" w:rsidRDefault="00F04118" w:rsidP="00104D01">
      <w:pPr>
        <w:pStyle w:val="CRCoverPage"/>
        <w:spacing w:after="240"/>
        <w:ind w:left="2265" w:firstLine="135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 xml:space="preserve">for CONNECTED UE </w:t>
      </w:r>
      <w:r w:rsidR="00104D01" w:rsidRPr="00090FC8">
        <w:rPr>
          <w:rFonts w:hint="eastAsia"/>
          <w:b/>
          <w:noProof/>
          <w:sz w:val="24"/>
          <w:lang w:eastAsia="ko-KR"/>
        </w:rPr>
        <w:t xml:space="preserve">in </w:t>
      </w:r>
      <w:r w:rsidR="0059334D" w:rsidRPr="00090FC8">
        <w:rPr>
          <w:b/>
          <w:noProof/>
          <w:sz w:val="24"/>
          <w:lang w:eastAsia="ko-KR"/>
        </w:rPr>
        <w:t>NR</w:t>
      </w:r>
      <w:bookmarkStart w:id="0" w:name="_GoBack"/>
      <w:bookmarkEnd w:id="0"/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104D01" w:rsidRDefault="00057FD7" w:rsidP="00104D0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At the initial stage of the RRM measurement discussion in RAN2, we agreed that the LTE framework such as measurement object and reporting configuration will be reused as a baseline in NR. Moreover, we also agreed that both event-triggered measurement reporting and periodic measurement reporting will be supported in NR. These agreements are captured as follows.</w:t>
      </w:r>
    </w:p>
    <w:p w:rsidR="00057FD7" w:rsidRPr="00057FD7" w:rsidRDefault="00057FD7" w:rsidP="00104D0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104D01" w:rsidTr="00104D01">
        <w:tc>
          <w:tcPr>
            <w:tcW w:w="9944" w:type="dxa"/>
          </w:tcPr>
          <w:p w:rsidR="00104D01" w:rsidRDefault="00057FD7" w:rsidP="00104D0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RAN2 #96: </w:t>
            </w:r>
            <w:r w:rsidR="00104D01">
              <w:rPr>
                <w:rFonts w:ascii="Times New Roman" w:hAnsi="Times New Roman" w:cs="Times New Roman" w:hint="eastAsia"/>
                <w:sz w:val="22"/>
              </w:rPr>
              <w:t>Agreements for connected active</w:t>
            </w:r>
          </w:p>
          <w:p w:rsidR="00104D01" w:rsidRDefault="00104D01" w:rsidP="00104D01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The scope of the RRM measurement should mainly be to facilitate the RRC driven </w:t>
            </w:r>
            <w:r>
              <w:rPr>
                <w:rFonts w:ascii="Times New Roman" w:hAnsi="Times New Roman" w:cs="Times New Roman"/>
                <w:sz w:val="22"/>
              </w:rPr>
              <w:t>‘</w:t>
            </w:r>
            <w:r>
              <w:rPr>
                <w:rFonts w:ascii="Times New Roman" w:hAnsi="Times New Roman" w:cs="Times New Roman" w:hint="eastAsia"/>
                <w:sz w:val="22"/>
              </w:rPr>
              <w:t>cell</w:t>
            </w:r>
            <w:r>
              <w:rPr>
                <w:rFonts w:ascii="Times New Roman" w:hAnsi="Times New Roman" w:cs="Times New Roman"/>
                <w:sz w:val="22"/>
              </w:rPr>
              <w:t>’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level mobility.</w:t>
            </w:r>
          </w:p>
          <w:p w:rsidR="00104D01" w:rsidRDefault="00104D01" w:rsidP="00104D01">
            <w:pPr>
              <w:pStyle w:val="a6"/>
              <w:spacing w:line="312" w:lineRule="auto"/>
              <w:ind w:left="36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…</w:t>
            </w:r>
          </w:p>
          <w:p w:rsidR="00104D01" w:rsidRPr="00104D01" w:rsidRDefault="00104D01" w:rsidP="00104D01">
            <w:pPr>
              <w:pStyle w:val="a6"/>
              <w:numPr>
                <w:ilvl w:val="0"/>
                <w:numId w:val="17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104D01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The RRM measurement framework (measurement object, measurement id, reporting </w:t>
            </w:r>
            <w:proofErr w:type="spellStart"/>
            <w:r w:rsidRPr="00104D01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config</w:t>
            </w:r>
            <w:proofErr w:type="spellEnd"/>
            <w:r w:rsidRPr="00104D01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) in LTE as a baseline in NR.</w:t>
            </w:r>
          </w:p>
        </w:tc>
      </w:tr>
    </w:tbl>
    <w:p w:rsidR="00057FD7" w:rsidRDefault="00057FD7" w:rsidP="00104D0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760F20" w:rsidTr="00760F20">
        <w:tc>
          <w:tcPr>
            <w:tcW w:w="9944" w:type="dxa"/>
          </w:tcPr>
          <w:p w:rsidR="00760F20" w:rsidRDefault="00057FD7" w:rsidP="00104D0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RAN2 #96: </w:t>
            </w:r>
            <w:r w:rsidR="00760F20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Agreements</w:t>
            </w:r>
          </w:p>
          <w:p w:rsidR="00057FD7" w:rsidRPr="00057FD7" w:rsidRDefault="00760F20" w:rsidP="00057FD7">
            <w:pPr>
              <w:pStyle w:val="a6"/>
              <w:numPr>
                <w:ilvl w:val="0"/>
                <w:numId w:val="18"/>
              </w:numPr>
              <w:spacing w:line="312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At least events like LTE A1-A6 and periodic will be supported for NR (modification to the events many be considered).</w:t>
            </w:r>
          </w:p>
        </w:tc>
      </w:tr>
    </w:tbl>
    <w:p w:rsidR="00760F20" w:rsidRDefault="00760F20" w:rsidP="00104D0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110B86" w:rsidRDefault="00110B86" w:rsidP="00104D0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>Although the use of TTT (time-to-trigger) for event-triggered measurement reporting is not explicitly mentioned in the agreements, it can be assumed that a UE will initiate the measurement reporting procedure when the entry condition of a configured event is fulfilled during TTT.</w:t>
      </w:r>
    </w:p>
    <w:p w:rsidR="00D4088F" w:rsidRDefault="00D4088F" w:rsidP="00104D0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F04118" w:rsidRDefault="00DD16E2" w:rsidP="00F04118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Furthermore, it is well known that the mobility performance such as handover failure rate and the number of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2"/>
        </w:rPr>
        <w:t>ping-pong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handovers is largely affected by the value of TTT and the speed of a UE. The simulation results that support this phenomenon can be found in TR 3</w:t>
      </w:r>
      <w:r w:rsidR="00F04118">
        <w:rPr>
          <w:rFonts w:ascii="Times New Roman" w:hAnsi="Times New Roman" w:cs="Times New Roman" w:hint="eastAsia"/>
          <w:color w:val="000000" w:themeColor="text1"/>
          <w:sz w:val="22"/>
        </w:rPr>
        <w:t xml:space="preserve">6.839, which studied the mobility enhancements in </w:t>
      </w:r>
      <w:proofErr w:type="spellStart"/>
      <w:r w:rsidR="00F04118">
        <w:rPr>
          <w:rFonts w:ascii="Times New Roman" w:hAnsi="Times New Roman" w:cs="Times New Roman" w:hint="eastAsia"/>
          <w:color w:val="000000" w:themeColor="text1"/>
          <w:sz w:val="22"/>
        </w:rPr>
        <w:t>HetNet</w:t>
      </w:r>
      <w:proofErr w:type="spellEnd"/>
      <w:r w:rsidR="00F04118">
        <w:rPr>
          <w:rFonts w:ascii="Times New Roman" w:hAnsi="Times New Roman" w:cs="Times New Roman" w:hint="eastAsia"/>
          <w:color w:val="000000" w:themeColor="text1"/>
          <w:sz w:val="22"/>
        </w:rPr>
        <w:t xml:space="preserve"> [1]. As a result, controlling the value of TTT according to the speed of a UE can be </w:t>
      </w:r>
      <w:r w:rsidR="00093D1C">
        <w:rPr>
          <w:rFonts w:ascii="Times New Roman" w:hAnsi="Times New Roman" w:cs="Times New Roman" w:hint="eastAsia"/>
          <w:color w:val="000000" w:themeColor="text1"/>
          <w:sz w:val="22"/>
        </w:rPr>
        <w:t xml:space="preserve">one </w:t>
      </w:r>
      <w:r w:rsidR="00F04118">
        <w:rPr>
          <w:rFonts w:ascii="Times New Roman" w:hAnsi="Times New Roman" w:cs="Times New Roman" w:hint="eastAsia"/>
          <w:color w:val="000000" w:themeColor="text1"/>
          <w:sz w:val="22"/>
        </w:rPr>
        <w:t>of the major factors that determine the mobility performance. In this context, we will discuss the following issue</w:t>
      </w:r>
      <w:r w:rsidR="002408F7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="00F04118">
        <w:rPr>
          <w:rFonts w:ascii="Times New Roman" w:hAnsi="Times New Roman" w:cs="Times New Roman" w:hint="eastAsia"/>
          <w:color w:val="000000" w:themeColor="text1"/>
          <w:sz w:val="22"/>
        </w:rPr>
        <w:t>in this contribution.</w:t>
      </w:r>
    </w:p>
    <w:p w:rsidR="00F04118" w:rsidRPr="00F04118" w:rsidRDefault="00F04118" w:rsidP="00F04118">
      <w:pPr>
        <w:pStyle w:val="a6"/>
        <w:numPr>
          <w:ilvl w:val="0"/>
          <w:numId w:val="20"/>
        </w:numPr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>Speed dependent scaling of measurement related parameters</w:t>
      </w:r>
      <w:r w:rsidR="00502237">
        <w:rPr>
          <w:rFonts w:ascii="Times New Roman" w:hAnsi="Times New Roman" w:cs="Times New Roman" w:hint="eastAsia"/>
          <w:color w:val="000000" w:themeColor="text1"/>
          <w:sz w:val="22"/>
        </w:rPr>
        <w:t xml:space="preserve"> (i.e., TTT)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for a CONNECTED UE in NR</w:t>
      </w:r>
    </w:p>
    <w:p w:rsidR="00415E4B" w:rsidRDefault="007B4ACA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Discussion</w:t>
      </w:r>
    </w:p>
    <w:p w:rsidR="008E3424" w:rsidRDefault="008E3424" w:rsidP="00A36E5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First of all, we briefly review how a UE performs the speed dependent scaling of measurement related parameters in LTE. This procedure mainly cons</w:t>
      </w:r>
      <w:r w:rsidR="009E4539">
        <w:rPr>
          <w:rFonts w:ascii="Times New Roman" w:hAnsi="Times New Roman" w:cs="Times New Roman" w:hint="eastAsia"/>
          <w:sz w:val="22"/>
        </w:rPr>
        <w:t>ists of the following two steps:</w:t>
      </w:r>
    </w:p>
    <w:p w:rsidR="008E3424" w:rsidRDefault="008E3424" w:rsidP="008E3424">
      <w:pPr>
        <w:pStyle w:val="a6"/>
        <w:numPr>
          <w:ilvl w:val="0"/>
          <w:numId w:val="2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lastRenderedPageBreak/>
        <w:t>Step 1) Determination of the mobility state of a UE</w:t>
      </w:r>
    </w:p>
    <w:p w:rsidR="00116951" w:rsidRPr="00116951" w:rsidRDefault="00116951" w:rsidP="00116951">
      <w:pPr>
        <w:pStyle w:val="a6"/>
        <w:numPr>
          <w:ilvl w:val="1"/>
          <w:numId w:val="2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Depending on the number of cell reselections (for an IDLE UE) or handovers (for a CONNECTED UE) during a given time period, the mobility state of a UE is classified into one of the normal, medium, and high states [2].</w:t>
      </w:r>
    </w:p>
    <w:p w:rsidR="00116951" w:rsidRDefault="008E3424" w:rsidP="00116951">
      <w:pPr>
        <w:pStyle w:val="a6"/>
        <w:numPr>
          <w:ilvl w:val="0"/>
          <w:numId w:val="2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Step 2) Speed dependent scaling of measurement related parameters</w:t>
      </w:r>
    </w:p>
    <w:p w:rsidR="002408F7" w:rsidRDefault="00281F08" w:rsidP="002408F7">
      <w:pPr>
        <w:pStyle w:val="a6"/>
        <w:numPr>
          <w:ilvl w:val="1"/>
          <w:numId w:val="2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Once a UE finds that its mobility state is higher than the normal state, it applies speed dependent scaling to meas</w:t>
      </w:r>
      <w:r w:rsidR="002408F7">
        <w:rPr>
          <w:rFonts w:ascii="Times New Roman" w:hAnsi="Times New Roman" w:cs="Times New Roman" w:hint="eastAsia"/>
          <w:sz w:val="22"/>
        </w:rPr>
        <w:t xml:space="preserve">urement related parameters. </w:t>
      </w:r>
      <w:r>
        <w:rPr>
          <w:rFonts w:ascii="Times New Roman" w:hAnsi="Times New Roman" w:cs="Times New Roman" w:hint="eastAsia"/>
          <w:sz w:val="22"/>
        </w:rPr>
        <w:t xml:space="preserve">More specifically, an IDLE UE adjusts the parameters of </w:t>
      </w:r>
      <w:proofErr w:type="spellStart"/>
      <w:r w:rsidR="00581828">
        <w:rPr>
          <w:rFonts w:ascii="Times New Roman" w:hAnsi="Times New Roman" w:cs="Times New Roman" w:hint="eastAsia"/>
          <w:sz w:val="22"/>
        </w:rPr>
        <w:t>Qhyst</w:t>
      </w:r>
      <w:proofErr w:type="spellEnd"/>
      <w:r w:rsidR="00581828">
        <w:rPr>
          <w:rFonts w:ascii="Times New Roman" w:hAnsi="Times New Roman" w:cs="Times New Roman" w:hint="eastAsia"/>
          <w:sz w:val="22"/>
        </w:rPr>
        <w:t xml:space="preserve"> and </w:t>
      </w:r>
      <w:proofErr w:type="spellStart"/>
      <w:r w:rsidR="00581828">
        <w:rPr>
          <w:rFonts w:ascii="Times New Roman" w:hAnsi="Times New Roman" w:cs="Times New Roman" w:hint="eastAsia"/>
          <w:sz w:val="22"/>
        </w:rPr>
        <w:t>Treselection</w:t>
      </w:r>
      <w:proofErr w:type="spellEnd"/>
      <w:r w:rsidR="00581828">
        <w:rPr>
          <w:rFonts w:ascii="Times New Roman" w:hAnsi="Times New Roman" w:cs="Times New Roman" w:hint="eastAsia"/>
          <w:sz w:val="22"/>
        </w:rPr>
        <w:t xml:space="preserve"> </w:t>
      </w:r>
      <w:r w:rsidR="002408F7">
        <w:rPr>
          <w:rFonts w:ascii="Times New Roman" w:hAnsi="Times New Roman" w:cs="Times New Roman" w:hint="eastAsia"/>
          <w:sz w:val="22"/>
        </w:rPr>
        <w:t xml:space="preserve">and a CONNECTED </w:t>
      </w:r>
      <w:r>
        <w:rPr>
          <w:rFonts w:ascii="Times New Roman" w:hAnsi="Times New Roman" w:cs="Times New Roman" w:hint="eastAsia"/>
          <w:sz w:val="22"/>
        </w:rPr>
        <w:t>U</w:t>
      </w:r>
      <w:r w:rsidR="00581828">
        <w:rPr>
          <w:rFonts w:ascii="Times New Roman" w:hAnsi="Times New Roman" w:cs="Times New Roman" w:hint="eastAsia"/>
          <w:sz w:val="22"/>
        </w:rPr>
        <w:t>E adjusts the parameter of TTT</w:t>
      </w:r>
      <w:r w:rsidR="002408F7">
        <w:rPr>
          <w:rFonts w:ascii="Times New Roman" w:hAnsi="Times New Roman" w:cs="Times New Roman" w:hint="eastAsia"/>
          <w:sz w:val="22"/>
        </w:rPr>
        <w:t xml:space="preserve"> by multiplying an appropriate scaling factor, which is informed by an </w:t>
      </w:r>
      <w:proofErr w:type="spellStart"/>
      <w:r w:rsidR="002408F7">
        <w:rPr>
          <w:rFonts w:ascii="Times New Roman" w:hAnsi="Times New Roman" w:cs="Times New Roman" w:hint="eastAsia"/>
          <w:sz w:val="22"/>
        </w:rPr>
        <w:t>eNB</w:t>
      </w:r>
      <w:proofErr w:type="spellEnd"/>
      <w:r w:rsidR="005C5CC1">
        <w:rPr>
          <w:rFonts w:ascii="Times New Roman" w:hAnsi="Times New Roman" w:cs="Times New Roman" w:hint="eastAsia"/>
          <w:sz w:val="22"/>
        </w:rPr>
        <w:t xml:space="preserve"> [3]</w:t>
      </w:r>
      <w:r w:rsidR="002408F7">
        <w:rPr>
          <w:rFonts w:ascii="Times New Roman" w:hAnsi="Times New Roman" w:cs="Times New Roman" w:hint="eastAsia"/>
          <w:sz w:val="22"/>
        </w:rPr>
        <w:t>.</w:t>
      </w:r>
    </w:p>
    <w:p w:rsidR="002408F7" w:rsidRPr="002408F7" w:rsidRDefault="002408F7" w:rsidP="002408F7">
      <w:pPr>
        <w:pStyle w:val="a6"/>
        <w:numPr>
          <w:ilvl w:val="1"/>
          <w:numId w:val="2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2408F7">
        <w:rPr>
          <w:rFonts w:ascii="Times New Roman" w:hAnsi="Times New Roman" w:cs="Times New Roman" w:hint="eastAsia"/>
          <w:sz w:val="22"/>
        </w:rPr>
        <w:t>The conceptual diagram of this procedure is illustrated in Fig. 1.</w:t>
      </w:r>
    </w:p>
    <w:p w:rsidR="002408F7" w:rsidRPr="002408F7" w:rsidRDefault="002408F7" w:rsidP="002408F7">
      <w:pPr>
        <w:pStyle w:val="a6"/>
        <w:spacing w:line="312" w:lineRule="auto"/>
        <w:ind w:left="142"/>
        <w:jc w:val="left"/>
        <w:rPr>
          <w:rFonts w:ascii="Times New Roman" w:hAnsi="Times New Roman" w:cs="Times New Roman"/>
          <w:sz w:val="22"/>
        </w:rPr>
      </w:pPr>
    </w:p>
    <w:p w:rsidR="002408F7" w:rsidRDefault="00075214" w:rsidP="002408F7">
      <w:pPr>
        <w:pStyle w:val="a6"/>
        <w:keepNext/>
        <w:spacing w:line="312" w:lineRule="auto"/>
        <w:jc w:val="left"/>
      </w:pPr>
      <w:r>
        <w:object w:dxaOrig="14674" w:dyaOrig="34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1pt;height:115.2pt" o:ole="">
            <v:imagedata r:id="rId9" o:title=""/>
          </v:shape>
          <o:OLEObject Type="Embed" ProgID="Visio.Drawing.11" ShapeID="_x0000_i1025" DrawAspect="Content" ObjectID="_1556102210" r:id="rId10"/>
        </w:object>
      </w:r>
    </w:p>
    <w:p w:rsidR="002408F7" w:rsidRPr="002408F7" w:rsidRDefault="002408F7" w:rsidP="002408F7">
      <w:pPr>
        <w:pStyle w:val="a3"/>
        <w:jc w:val="center"/>
        <w:rPr>
          <w:rFonts w:ascii="Times New Roman" w:hAnsi="Times New Roman" w:cs="Times New Roman"/>
          <w:sz w:val="2"/>
          <w:szCs w:val="22"/>
        </w:rPr>
      </w:pPr>
    </w:p>
    <w:p w:rsidR="002408F7" w:rsidRDefault="002408F7" w:rsidP="002408F7">
      <w:pPr>
        <w:pStyle w:val="a3"/>
        <w:jc w:val="center"/>
        <w:rPr>
          <w:rFonts w:ascii="Times New Roman" w:hAnsi="Times New Roman" w:cs="Times New Roman"/>
          <w:sz w:val="22"/>
          <w:szCs w:val="22"/>
        </w:rPr>
      </w:pPr>
      <w:r w:rsidRPr="002408F7">
        <w:rPr>
          <w:rFonts w:ascii="Times New Roman" w:hAnsi="Times New Roman" w:cs="Times New Roman"/>
          <w:sz w:val="22"/>
          <w:szCs w:val="22"/>
        </w:rPr>
        <w:t xml:space="preserve">Figure </w:t>
      </w:r>
      <w:r w:rsidRPr="002408F7">
        <w:rPr>
          <w:rFonts w:ascii="Times New Roman" w:hAnsi="Times New Roman" w:cs="Times New Roman"/>
          <w:sz w:val="22"/>
          <w:szCs w:val="22"/>
        </w:rPr>
        <w:fldChar w:fldCharType="begin"/>
      </w:r>
      <w:r w:rsidRPr="002408F7">
        <w:rPr>
          <w:rFonts w:ascii="Times New Roman" w:hAnsi="Times New Roman" w:cs="Times New Roman"/>
          <w:sz w:val="22"/>
          <w:szCs w:val="22"/>
        </w:rPr>
        <w:instrText xml:space="preserve"> SEQ Figure \* ARABIC </w:instrText>
      </w:r>
      <w:r w:rsidRPr="002408F7">
        <w:rPr>
          <w:rFonts w:ascii="Times New Roman" w:hAnsi="Times New Roman" w:cs="Times New Roman"/>
          <w:sz w:val="22"/>
          <w:szCs w:val="22"/>
        </w:rPr>
        <w:fldChar w:fldCharType="separate"/>
      </w:r>
      <w:r w:rsidR="00A8513E">
        <w:rPr>
          <w:rFonts w:ascii="Times New Roman" w:hAnsi="Times New Roman" w:cs="Times New Roman"/>
          <w:noProof/>
          <w:sz w:val="22"/>
          <w:szCs w:val="22"/>
        </w:rPr>
        <w:t>1</w:t>
      </w:r>
      <w:r w:rsidRPr="002408F7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Speed </w:t>
      </w:r>
      <w:r>
        <w:rPr>
          <w:rFonts w:ascii="Times New Roman" w:hAnsi="Times New Roman" w:cs="Times New Roman" w:hint="eastAsia"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</w:rPr>
        <w:t>epend</w:t>
      </w:r>
      <w:r>
        <w:rPr>
          <w:rFonts w:ascii="Times New Roman" w:hAnsi="Times New Roman" w:cs="Times New Roman" w:hint="eastAsia"/>
          <w:sz w:val="22"/>
          <w:szCs w:val="22"/>
        </w:rPr>
        <w:t>e</w:t>
      </w:r>
      <w:r w:rsidRPr="002408F7">
        <w:rPr>
          <w:rFonts w:ascii="Times New Roman" w:hAnsi="Times New Roman" w:cs="Times New Roman"/>
          <w:sz w:val="22"/>
          <w:szCs w:val="22"/>
        </w:rPr>
        <w:t xml:space="preserve">nt </w:t>
      </w:r>
      <w:r>
        <w:rPr>
          <w:rFonts w:ascii="Times New Roman" w:hAnsi="Times New Roman" w:cs="Times New Roman" w:hint="eastAsia"/>
          <w:sz w:val="22"/>
          <w:szCs w:val="22"/>
        </w:rPr>
        <w:t>s</w:t>
      </w:r>
      <w:r w:rsidRPr="002408F7">
        <w:rPr>
          <w:rFonts w:ascii="Times New Roman" w:hAnsi="Times New Roman" w:cs="Times New Roman"/>
          <w:sz w:val="22"/>
          <w:szCs w:val="22"/>
        </w:rPr>
        <w:t xml:space="preserve">caling of </w:t>
      </w:r>
      <w:r>
        <w:rPr>
          <w:rFonts w:ascii="Times New Roman" w:hAnsi="Times New Roman" w:cs="Times New Roman" w:hint="eastAsia"/>
          <w:sz w:val="22"/>
          <w:szCs w:val="22"/>
        </w:rPr>
        <w:t xml:space="preserve">TTT </w:t>
      </w:r>
      <w:r w:rsidRPr="002408F7">
        <w:rPr>
          <w:rFonts w:ascii="Times New Roman" w:hAnsi="Times New Roman" w:cs="Times New Roman"/>
          <w:sz w:val="22"/>
          <w:szCs w:val="22"/>
        </w:rPr>
        <w:t xml:space="preserve">for </w:t>
      </w:r>
      <w:r>
        <w:rPr>
          <w:rFonts w:ascii="Times New Roman" w:hAnsi="Times New Roman" w:cs="Times New Roman" w:hint="eastAsia"/>
          <w:sz w:val="22"/>
          <w:szCs w:val="22"/>
        </w:rPr>
        <w:t xml:space="preserve">a </w:t>
      </w:r>
      <w:r>
        <w:rPr>
          <w:rFonts w:ascii="Times New Roman" w:hAnsi="Times New Roman" w:cs="Times New Roman"/>
          <w:sz w:val="22"/>
          <w:szCs w:val="22"/>
        </w:rPr>
        <w:t>CONNECTED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408F7">
        <w:rPr>
          <w:rFonts w:ascii="Times New Roman" w:hAnsi="Times New Roman" w:cs="Times New Roman"/>
          <w:sz w:val="22"/>
          <w:szCs w:val="22"/>
        </w:rPr>
        <w:t>UE</w:t>
      </w:r>
    </w:p>
    <w:p w:rsidR="0025158A" w:rsidRDefault="00C231DB" w:rsidP="0025158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From the perspective of cell-level mobility with RRC involvement, the baseline handover mechanism of NR</w:t>
      </w:r>
      <w:r w:rsidR="009B108E">
        <w:rPr>
          <w:rFonts w:ascii="Times New Roman" w:hAnsi="Times New Roman" w:cs="Times New Roman" w:hint="eastAsia"/>
          <w:sz w:val="22"/>
        </w:rPr>
        <w:t xml:space="preserve"> and the relevant UE operation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9B108E">
        <w:rPr>
          <w:rFonts w:ascii="Times New Roman" w:hAnsi="Times New Roman" w:cs="Times New Roman" w:hint="eastAsia"/>
          <w:sz w:val="22"/>
        </w:rPr>
        <w:t>are similar to those</w:t>
      </w:r>
      <w:r>
        <w:rPr>
          <w:rFonts w:ascii="Times New Roman" w:hAnsi="Times New Roman" w:cs="Times New Roman" w:hint="eastAsia"/>
          <w:sz w:val="22"/>
        </w:rPr>
        <w:t xml:space="preserve"> of LTE. In other words, if a UE satisfies</w:t>
      </w:r>
      <w:r w:rsidR="009B108E">
        <w:rPr>
          <w:rFonts w:ascii="Times New Roman" w:hAnsi="Times New Roman" w:cs="Times New Roman" w:hint="eastAsia"/>
          <w:sz w:val="22"/>
        </w:rPr>
        <w:t xml:space="preserve"> a configured event during TTT, it sends a measurement report and then the handover procedure is initiated by the </w:t>
      </w:r>
      <w:proofErr w:type="spellStart"/>
      <w:r w:rsidR="009B108E">
        <w:rPr>
          <w:rFonts w:ascii="Times New Roman" w:hAnsi="Times New Roman" w:cs="Times New Roman" w:hint="eastAsia"/>
          <w:sz w:val="22"/>
        </w:rPr>
        <w:t>gNB</w:t>
      </w:r>
      <w:proofErr w:type="spellEnd"/>
      <w:r w:rsidR="009B108E">
        <w:rPr>
          <w:rFonts w:ascii="Times New Roman" w:hAnsi="Times New Roman" w:cs="Times New Roman" w:hint="eastAsia"/>
          <w:sz w:val="22"/>
        </w:rPr>
        <w:t>.</w:t>
      </w:r>
      <w:r w:rsidR="0025158A">
        <w:rPr>
          <w:rFonts w:ascii="Times New Roman" w:hAnsi="Times New Roman" w:cs="Times New Roman" w:hint="eastAsia"/>
          <w:sz w:val="22"/>
        </w:rPr>
        <w:t xml:space="preserve"> In this context, if NR adopts the speed dependent scaling of measurement related parameters, we think th</w:t>
      </w:r>
      <w:r w:rsidR="001A1515">
        <w:rPr>
          <w:rFonts w:ascii="Times New Roman" w:hAnsi="Times New Roman" w:cs="Times New Roman" w:hint="eastAsia"/>
          <w:sz w:val="22"/>
        </w:rPr>
        <w:t xml:space="preserve">at the framework defined in LTE (e.g., how to define the mobility state of a UE and how to adjust measurement related parameters) can be reused as </w:t>
      </w:r>
      <w:r w:rsidR="00CE1E5A">
        <w:rPr>
          <w:rFonts w:ascii="Times New Roman" w:hAnsi="Times New Roman" w:cs="Times New Roman" w:hint="eastAsia"/>
          <w:sz w:val="22"/>
        </w:rPr>
        <w:t>a baseline</w:t>
      </w:r>
      <w:r w:rsidR="001A1515">
        <w:rPr>
          <w:rFonts w:ascii="Times New Roman" w:hAnsi="Times New Roman" w:cs="Times New Roman" w:hint="eastAsia"/>
          <w:sz w:val="22"/>
        </w:rPr>
        <w:t>.</w:t>
      </w:r>
    </w:p>
    <w:p w:rsidR="00CE1E5A" w:rsidRPr="00CE1E5A" w:rsidRDefault="00CE1E5A" w:rsidP="0025158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CE1E5A" w:rsidRPr="00876C2B" w:rsidRDefault="00876C2B" w:rsidP="00C231DB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</w:t>
      </w:r>
      <w:r w:rsidR="0025158A" w:rsidRPr="00876C2B">
        <w:rPr>
          <w:rFonts w:ascii="Times New Roman" w:hAnsi="Times New Roman" w:cs="Times New Roman" w:hint="eastAsia"/>
          <w:b/>
          <w:sz w:val="22"/>
        </w:rPr>
        <w:t>1: The speed dependent scaling of measurement related parameters in LTE can be reused</w:t>
      </w:r>
      <w:r w:rsidR="00CE1E5A" w:rsidRPr="00876C2B">
        <w:rPr>
          <w:rFonts w:ascii="Times New Roman" w:hAnsi="Times New Roman" w:cs="Times New Roman" w:hint="eastAsia"/>
          <w:b/>
          <w:sz w:val="22"/>
        </w:rPr>
        <w:t xml:space="preserve"> as a baseline</w:t>
      </w:r>
      <w:r w:rsidR="0025158A" w:rsidRPr="00876C2B">
        <w:rPr>
          <w:rFonts w:ascii="Times New Roman" w:hAnsi="Times New Roman" w:cs="Times New Roman" w:hint="eastAsia"/>
          <w:b/>
          <w:sz w:val="22"/>
        </w:rPr>
        <w:t xml:space="preserve"> in NR.</w:t>
      </w:r>
      <w:r w:rsidR="003F0DAD">
        <w:rPr>
          <w:rFonts w:ascii="Times New Roman" w:hAnsi="Times New Roman" w:cs="Times New Roman" w:hint="eastAsia"/>
          <w:b/>
          <w:sz w:val="22"/>
        </w:rPr>
        <w:t xml:space="preserve"> The details should be </w:t>
      </w:r>
      <w:r>
        <w:rPr>
          <w:rFonts w:ascii="Times New Roman" w:hAnsi="Times New Roman" w:cs="Times New Roman" w:hint="eastAsia"/>
          <w:b/>
          <w:sz w:val="22"/>
        </w:rPr>
        <w:t>discussed</w:t>
      </w:r>
      <w:r w:rsidR="003F0DAD">
        <w:rPr>
          <w:rFonts w:ascii="Times New Roman" w:hAnsi="Times New Roman" w:cs="Times New Roman" w:hint="eastAsia"/>
          <w:b/>
          <w:sz w:val="22"/>
        </w:rPr>
        <w:t xml:space="preserve"> further</w:t>
      </w:r>
      <w:r>
        <w:rPr>
          <w:rFonts w:ascii="Times New Roman" w:hAnsi="Times New Roman" w:cs="Times New Roman" w:hint="eastAsia"/>
          <w:b/>
          <w:sz w:val="22"/>
        </w:rPr>
        <w:t>.</w:t>
      </w:r>
    </w:p>
    <w:p w:rsidR="009E4539" w:rsidRDefault="009E4539" w:rsidP="00C231D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E4539" w:rsidRDefault="009E4539" w:rsidP="00C231D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It should be noted that NR supports multiple beams within a single cell and they are managed by the L1/L2 beam management procedures, which are being discussed in RAN1. Since beam-level mobility (i.e., beam switching) can be caused by the mobility of a UE and its frequency can depend on the speed of the UE, the following question can be raised:</w:t>
      </w:r>
    </w:p>
    <w:p w:rsidR="005C5CC1" w:rsidRPr="00E916C8" w:rsidRDefault="009E4539" w:rsidP="00C231DB">
      <w:pPr>
        <w:pStyle w:val="a6"/>
        <w:numPr>
          <w:ilvl w:val="0"/>
          <w:numId w:val="20"/>
        </w:numPr>
        <w:spacing w:line="312" w:lineRule="auto"/>
        <w:jc w:val="left"/>
        <w:rPr>
          <w:rFonts w:ascii="Times New Roman" w:hAnsi="Times New Roman" w:cs="Times New Roman"/>
          <w:i/>
          <w:color w:val="000000" w:themeColor="text1"/>
          <w:sz w:val="22"/>
        </w:rPr>
      </w:pPr>
      <w:r w:rsidRPr="00E916C8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Can the frequency of beam switching be used for </w:t>
      </w:r>
      <w:r w:rsidRPr="00E916C8">
        <w:rPr>
          <w:rFonts w:ascii="Times New Roman" w:hAnsi="Times New Roman" w:cs="Times New Roman"/>
          <w:i/>
          <w:color w:val="000000" w:themeColor="text1"/>
          <w:sz w:val="22"/>
        </w:rPr>
        <w:t>determining the mobility state of a UE?</w:t>
      </w:r>
    </w:p>
    <w:p w:rsidR="008D4D35" w:rsidRDefault="008D4D35" w:rsidP="00FF5220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B24FE9" w:rsidRDefault="008D4D35" w:rsidP="00FF5220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>For this question, we have the following views. First of all, a serving beam can be changed due to not only the</w:t>
      </w:r>
      <w:r w:rsidR="008C4A9A">
        <w:rPr>
          <w:rFonts w:ascii="Times New Roman" w:hAnsi="Times New Roman" w:cs="Times New Roman" w:hint="eastAsia"/>
          <w:color w:val="000000" w:themeColor="text1"/>
          <w:sz w:val="22"/>
        </w:rPr>
        <w:t xml:space="preserve"> mobility of a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UE</w:t>
      </w:r>
      <w:r w:rsidR="008C4A9A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but also other factors such as </w:t>
      </w:r>
      <w:r>
        <w:rPr>
          <w:rFonts w:ascii="Times New Roman" w:hAnsi="Times New Roman" w:cs="Times New Roman"/>
          <w:color w:val="000000" w:themeColor="text1"/>
          <w:sz w:val="22"/>
        </w:rPr>
        <w:t>moving obstacles around the UE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and </w:t>
      </w:r>
      <w:r w:rsidR="008C4A9A">
        <w:rPr>
          <w:rFonts w:ascii="Times New Roman" w:hAnsi="Times New Roman" w:cs="Times New Roman" w:hint="eastAsia"/>
          <w:color w:val="000000" w:themeColor="text1"/>
          <w:sz w:val="22"/>
        </w:rPr>
        <w:t xml:space="preserve">the </w:t>
      </w:r>
      <w:r>
        <w:rPr>
          <w:rFonts w:ascii="Times New Roman" w:hAnsi="Times New Roman" w:cs="Times New Roman" w:hint="eastAsia"/>
          <w:color w:val="000000" w:themeColor="text1"/>
          <w:sz w:val="22"/>
        </w:rPr>
        <w:t>scheduling policy</w:t>
      </w:r>
      <w:r w:rsidR="008C4A9A">
        <w:rPr>
          <w:rFonts w:ascii="Times New Roman" w:hAnsi="Times New Roman" w:cs="Times New Roman" w:hint="eastAsia"/>
          <w:color w:val="000000" w:themeColor="text1"/>
          <w:sz w:val="22"/>
        </w:rPr>
        <w:t xml:space="preserve"> of a </w:t>
      </w:r>
      <w:proofErr w:type="spellStart"/>
      <w:r w:rsidR="008C4A9A">
        <w:rPr>
          <w:rFonts w:ascii="Times New Roman" w:hAnsi="Times New Roman" w:cs="Times New Roman" w:hint="eastAsia"/>
          <w:color w:val="000000" w:themeColor="text1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2"/>
        </w:rPr>
        <w:t>.</w:t>
      </w:r>
      <w:r w:rsidR="008C4A9A">
        <w:rPr>
          <w:rFonts w:ascii="Times New Roman" w:hAnsi="Times New Roman" w:cs="Times New Roman" w:hint="eastAsia"/>
          <w:color w:val="000000" w:themeColor="text1"/>
          <w:sz w:val="22"/>
        </w:rPr>
        <w:t xml:space="preserve"> Accordingly, it is difficult to say that the UE</w:t>
      </w:r>
      <w:r w:rsidR="008C4A9A">
        <w:rPr>
          <w:rFonts w:ascii="Times New Roman" w:hAnsi="Times New Roman" w:cs="Times New Roman"/>
          <w:color w:val="000000" w:themeColor="text1"/>
          <w:sz w:val="22"/>
        </w:rPr>
        <w:t>’</w:t>
      </w:r>
      <w:r w:rsidR="008C4A9A">
        <w:rPr>
          <w:rFonts w:ascii="Times New Roman" w:hAnsi="Times New Roman" w:cs="Times New Roman" w:hint="eastAsia"/>
          <w:color w:val="000000" w:themeColor="text1"/>
          <w:sz w:val="22"/>
        </w:rPr>
        <w:t>s mobility is the most dominant factor that causes beam switching.</w:t>
      </w:r>
      <w:r w:rsidR="00C95D5D">
        <w:rPr>
          <w:rFonts w:ascii="Times New Roman" w:hAnsi="Times New Roman" w:cs="Times New Roman" w:hint="eastAsia"/>
          <w:color w:val="000000" w:themeColor="text1"/>
          <w:sz w:val="22"/>
        </w:rPr>
        <w:t xml:space="preserve"> This situation is illustrated in Fig. 2(a).</w:t>
      </w:r>
    </w:p>
    <w:p w:rsidR="00B24FE9" w:rsidRDefault="00B24FE9" w:rsidP="00FF5220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5C5CC1" w:rsidRDefault="00B24FE9" w:rsidP="00C231DB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>Furt</w:t>
      </w:r>
      <w:r w:rsidR="008B4EB2">
        <w:rPr>
          <w:rFonts w:ascii="Times New Roman" w:hAnsi="Times New Roman" w:cs="Times New Roman" w:hint="eastAsia"/>
          <w:color w:val="000000" w:themeColor="text1"/>
          <w:sz w:val="22"/>
        </w:rPr>
        <w:t xml:space="preserve">hermore, beam-level mobility is 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managed by a serving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. If the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wants to adjust the value of TTT </w:t>
      </w:r>
      <w:r>
        <w:rPr>
          <w:rFonts w:ascii="Times New Roman" w:hAnsi="Times New Roman" w:cs="Times New Roman" w:hint="eastAsia"/>
          <w:color w:val="000000" w:themeColor="text1"/>
          <w:sz w:val="22"/>
        </w:rPr>
        <w:lastRenderedPageBreak/>
        <w:t xml:space="preserve">due to the high mobility of </w:t>
      </w:r>
      <w:r w:rsidR="008B4EB2">
        <w:rPr>
          <w:rFonts w:ascii="Times New Roman" w:hAnsi="Times New Roman" w:cs="Times New Roman" w:hint="eastAsia"/>
          <w:color w:val="000000" w:themeColor="text1"/>
          <w:sz w:val="22"/>
        </w:rPr>
        <w:t xml:space="preserve">a </w:t>
      </w:r>
      <w:r>
        <w:rPr>
          <w:rFonts w:ascii="Times New Roman" w:hAnsi="Times New Roman" w:cs="Times New Roman" w:hint="eastAsia"/>
          <w:color w:val="000000" w:themeColor="text1"/>
          <w:sz w:val="22"/>
        </w:rPr>
        <w:t>UE that is judged by t</w:t>
      </w:r>
      <w:r w:rsidR="0088623A">
        <w:rPr>
          <w:rFonts w:ascii="Times New Roman" w:hAnsi="Times New Roman" w:cs="Times New Roman" w:hint="eastAsia"/>
          <w:color w:val="000000" w:themeColor="text1"/>
          <w:sz w:val="22"/>
        </w:rPr>
        <w:t xml:space="preserve">he frequency of beam switching, 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it can </w:t>
      </w:r>
      <w:r w:rsidR="008B4EB2">
        <w:rPr>
          <w:rFonts w:ascii="Times New Roman" w:hAnsi="Times New Roman" w:cs="Times New Roman" w:hint="eastAsia"/>
          <w:color w:val="000000" w:themeColor="text1"/>
          <w:sz w:val="22"/>
        </w:rPr>
        <w:t xml:space="preserve">directly reconfigure 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TTT </w:t>
      </w:r>
      <w:r w:rsidR="008B4EB2">
        <w:rPr>
          <w:rFonts w:ascii="Times New Roman" w:hAnsi="Times New Roman" w:cs="Times New Roman" w:hint="eastAsia"/>
          <w:color w:val="000000" w:themeColor="text1"/>
          <w:sz w:val="22"/>
        </w:rPr>
        <w:t xml:space="preserve">by sending the 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RRC </w:t>
      </w:r>
      <w:r w:rsidR="008B4EB2">
        <w:rPr>
          <w:rFonts w:ascii="Times New Roman" w:hAnsi="Times New Roman" w:cs="Times New Roman" w:hint="eastAsia"/>
          <w:color w:val="000000" w:themeColor="text1"/>
          <w:sz w:val="22"/>
        </w:rPr>
        <w:t xml:space="preserve">message. </w:t>
      </w:r>
      <w:r>
        <w:rPr>
          <w:rFonts w:ascii="Times New Roman" w:hAnsi="Times New Roman" w:cs="Times New Roman" w:hint="eastAsia"/>
          <w:color w:val="000000" w:themeColor="text1"/>
          <w:sz w:val="22"/>
        </w:rPr>
        <w:t>It means that the UE does not need to perform the scaling of TTT by itse</w:t>
      </w:r>
      <w:r w:rsidR="008B4EB2">
        <w:rPr>
          <w:rFonts w:ascii="Times New Roman" w:hAnsi="Times New Roman" w:cs="Times New Roman" w:hint="eastAsia"/>
          <w:color w:val="000000" w:themeColor="text1"/>
          <w:sz w:val="22"/>
        </w:rPr>
        <w:t>lf</w:t>
      </w:r>
      <w:r w:rsidR="0088623A">
        <w:rPr>
          <w:rFonts w:ascii="Times New Roman" w:hAnsi="Times New Roman" w:cs="Times New Roman" w:hint="eastAsia"/>
          <w:color w:val="000000" w:themeColor="text1"/>
          <w:sz w:val="22"/>
        </w:rPr>
        <w:t>.</w:t>
      </w:r>
      <w:r w:rsidR="00C95D5D">
        <w:rPr>
          <w:rFonts w:ascii="Times New Roman" w:hAnsi="Times New Roman" w:cs="Times New Roman" w:hint="eastAsia"/>
          <w:color w:val="000000" w:themeColor="text1"/>
          <w:sz w:val="22"/>
        </w:rPr>
        <w:t xml:space="preserve"> This situation is illustrated in Fig. 2(b).</w:t>
      </w:r>
    </w:p>
    <w:p w:rsidR="00A8513E" w:rsidRPr="00920797" w:rsidRDefault="00A8513E" w:rsidP="00C231DB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14"/>
        </w:rPr>
      </w:pPr>
    </w:p>
    <w:p w:rsidR="00A8513E" w:rsidRDefault="00D82045" w:rsidP="00A8513E">
      <w:pPr>
        <w:pStyle w:val="a6"/>
        <w:keepNext/>
        <w:spacing w:line="312" w:lineRule="auto"/>
        <w:jc w:val="center"/>
      </w:pPr>
      <w:r>
        <w:object w:dxaOrig="8935" w:dyaOrig="4469">
          <v:shape id="_x0000_i1026" type="#_x0000_t75" style="width:380.05pt;height:189.7pt" o:ole="">
            <v:imagedata r:id="rId11" o:title=""/>
          </v:shape>
          <o:OLEObject Type="Embed" ProgID="Visio.Drawing.11" ShapeID="_x0000_i1026" DrawAspect="Content" ObjectID="_1556102211" r:id="rId12"/>
        </w:object>
      </w:r>
    </w:p>
    <w:p w:rsidR="00A8513E" w:rsidRPr="00A8513E" w:rsidRDefault="00A8513E" w:rsidP="00A8513E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A8513E">
        <w:rPr>
          <w:rFonts w:ascii="Times New Roman" w:hAnsi="Times New Roman" w:cs="Times New Roman"/>
          <w:sz w:val="22"/>
        </w:rPr>
        <w:t xml:space="preserve">Figure </w:t>
      </w:r>
      <w:r w:rsidRPr="00A8513E">
        <w:rPr>
          <w:rFonts w:ascii="Times New Roman" w:hAnsi="Times New Roman" w:cs="Times New Roman"/>
          <w:sz w:val="22"/>
        </w:rPr>
        <w:fldChar w:fldCharType="begin"/>
      </w:r>
      <w:r w:rsidRPr="00A8513E">
        <w:rPr>
          <w:rFonts w:ascii="Times New Roman" w:hAnsi="Times New Roman" w:cs="Times New Roman"/>
          <w:sz w:val="22"/>
        </w:rPr>
        <w:instrText xml:space="preserve"> SEQ Figure \* ARABIC </w:instrText>
      </w:r>
      <w:r w:rsidRPr="00A8513E">
        <w:rPr>
          <w:rFonts w:ascii="Times New Roman" w:hAnsi="Times New Roman" w:cs="Times New Roman"/>
          <w:sz w:val="22"/>
        </w:rPr>
        <w:fldChar w:fldCharType="separate"/>
      </w:r>
      <w:r w:rsidRPr="00A8513E">
        <w:rPr>
          <w:rFonts w:ascii="Times New Roman" w:hAnsi="Times New Roman" w:cs="Times New Roman"/>
          <w:noProof/>
          <w:sz w:val="22"/>
        </w:rPr>
        <w:t>2</w:t>
      </w:r>
      <w:r w:rsidRPr="00A8513E">
        <w:rPr>
          <w:rFonts w:ascii="Times New Roman" w:hAnsi="Times New Roman" w:cs="Times New Roman"/>
          <w:sz w:val="22"/>
        </w:rPr>
        <w:fldChar w:fldCharType="end"/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C95D5D">
        <w:rPr>
          <w:rFonts w:ascii="Times New Roman" w:hAnsi="Times New Roman" w:cs="Times New Roman" w:hint="eastAsia"/>
          <w:sz w:val="22"/>
        </w:rPr>
        <w:t>Examples of beam switching situations</w:t>
      </w:r>
    </w:p>
    <w:p w:rsidR="00C95D5D" w:rsidRDefault="00C95D5D" w:rsidP="005C5CC1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</w:p>
    <w:p w:rsidR="005C5CC1" w:rsidRDefault="005C5CC1" w:rsidP="005C5CC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</w:t>
      </w:r>
      <w:r w:rsidR="00876C2B">
        <w:rPr>
          <w:rFonts w:ascii="Times New Roman" w:hAnsi="Times New Roman" w:cs="Times New Roman" w:hint="eastAsia"/>
          <w:b/>
          <w:sz w:val="22"/>
        </w:rPr>
        <w:t>2</w:t>
      </w:r>
      <w:r>
        <w:rPr>
          <w:rFonts w:ascii="Times New Roman" w:hAnsi="Times New Roman" w:cs="Times New Roman" w:hint="eastAsia"/>
          <w:b/>
          <w:sz w:val="22"/>
        </w:rPr>
        <w:t xml:space="preserve">: </w:t>
      </w:r>
      <w:r w:rsidRPr="005C5CC1">
        <w:rPr>
          <w:rFonts w:ascii="Times New Roman" w:hAnsi="Times New Roman" w:cs="Times New Roman"/>
          <w:b/>
          <w:sz w:val="22"/>
        </w:rPr>
        <w:t>Beam level mobility (i.e., beam switching)</w:t>
      </w:r>
      <w:r>
        <w:rPr>
          <w:rFonts w:ascii="Times New Roman" w:hAnsi="Times New Roman" w:cs="Times New Roman"/>
          <w:b/>
          <w:sz w:val="22"/>
        </w:rPr>
        <w:t xml:space="preserve"> based on L1/L2 beam managemen</w:t>
      </w:r>
      <w:r>
        <w:rPr>
          <w:rFonts w:ascii="Times New Roman" w:hAnsi="Times New Roman" w:cs="Times New Roman" w:hint="eastAsia"/>
          <w:b/>
          <w:sz w:val="22"/>
        </w:rPr>
        <w:t xml:space="preserve">t </w:t>
      </w:r>
      <w:r w:rsidRPr="005C5CC1">
        <w:rPr>
          <w:rFonts w:ascii="Times New Roman" w:hAnsi="Times New Roman" w:cs="Times New Roman"/>
          <w:b/>
          <w:sz w:val="22"/>
        </w:rPr>
        <w:t>shall not be considered for determining the mobility state of a CONNECTED UE.</w:t>
      </w:r>
    </w:p>
    <w:p w:rsidR="004A2479" w:rsidRDefault="00642207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</w:t>
      </w:r>
      <w:r w:rsidR="00104D01">
        <w:rPr>
          <w:rFonts w:eastAsiaTheme="minorEastAsia" w:hint="eastAsia"/>
          <w:color w:val="auto"/>
          <w:lang w:val="en-US" w:eastAsia="ko-KR"/>
        </w:rPr>
        <w:t>s</w:t>
      </w:r>
    </w:p>
    <w:p w:rsidR="00876C2B" w:rsidRPr="00876C2B" w:rsidRDefault="00876C2B" w:rsidP="00876C2B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</w:t>
      </w:r>
      <w:r w:rsidRPr="00876C2B">
        <w:rPr>
          <w:rFonts w:ascii="Times New Roman" w:hAnsi="Times New Roman" w:cs="Times New Roman" w:hint="eastAsia"/>
          <w:b/>
          <w:sz w:val="22"/>
        </w:rPr>
        <w:t xml:space="preserve">1: </w:t>
      </w:r>
      <w:r w:rsidRPr="00876C2B">
        <w:rPr>
          <w:rFonts w:ascii="Times New Roman" w:hAnsi="Times New Roman" w:cs="Times New Roman" w:hint="eastAsia"/>
          <w:sz w:val="22"/>
        </w:rPr>
        <w:t>The speed dependent scaling of measurement related parameters in LTE can be reused as a baseline in NR.</w:t>
      </w:r>
      <w:r w:rsidR="003F0DAD">
        <w:rPr>
          <w:rFonts w:ascii="Times New Roman" w:hAnsi="Times New Roman" w:cs="Times New Roman" w:hint="eastAsia"/>
          <w:sz w:val="22"/>
        </w:rPr>
        <w:t xml:space="preserve"> The details should be </w:t>
      </w:r>
      <w:r w:rsidRPr="00876C2B">
        <w:rPr>
          <w:rFonts w:ascii="Times New Roman" w:hAnsi="Times New Roman" w:cs="Times New Roman" w:hint="eastAsia"/>
          <w:sz w:val="22"/>
        </w:rPr>
        <w:t>discussed</w:t>
      </w:r>
      <w:r w:rsidR="003F0DAD">
        <w:rPr>
          <w:rFonts w:ascii="Times New Roman" w:hAnsi="Times New Roman" w:cs="Times New Roman" w:hint="eastAsia"/>
          <w:sz w:val="22"/>
        </w:rPr>
        <w:t xml:space="preserve"> further</w:t>
      </w:r>
      <w:r w:rsidRPr="00876C2B">
        <w:rPr>
          <w:rFonts w:ascii="Times New Roman" w:hAnsi="Times New Roman" w:cs="Times New Roman" w:hint="eastAsia"/>
          <w:sz w:val="22"/>
        </w:rPr>
        <w:t>.</w:t>
      </w:r>
    </w:p>
    <w:p w:rsidR="00876C2B" w:rsidRDefault="00876C2B" w:rsidP="00876C2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2: </w:t>
      </w:r>
      <w:r w:rsidRPr="00876C2B">
        <w:rPr>
          <w:rFonts w:ascii="Times New Roman" w:hAnsi="Times New Roman" w:cs="Times New Roman"/>
          <w:sz w:val="22"/>
        </w:rPr>
        <w:t>Beam level mobility (i.e., beam switching) based on L1/L2 beam managemen</w:t>
      </w:r>
      <w:r w:rsidRPr="00876C2B">
        <w:rPr>
          <w:rFonts w:ascii="Times New Roman" w:hAnsi="Times New Roman" w:cs="Times New Roman" w:hint="eastAsia"/>
          <w:sz w:val="22"/>
        </w:rPr>
        <w:t xml:space="preserve">t </w:t>
      </w:r>
      <w:r w:rsidRPr="00876C2B">
        <w:rPr>
          <w:rFonts w:ascii="Times New Roman" w:hAnsi="Times New Roman" w:cs="Times New Roman"/>
          <w:sz w:val="22"/>
        </w:rPr>
        <w:t>shall not be considered for determining the mobility state of a CONNECTED UE.</w:t>
      </w:r>
    </w:p>
    <w:p w:rsidR="00642207" w:rsidRDefault="00642207" w:rsidP="00642207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F04118" w:rsidRDefault="00F04118" w:rsidP="00F04118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>[1</w:t>
      </w:r>
      <w:proofErr w:type="gramStart"/>
      <w:r>
        <w:rPr>
          <w:rFonts w:ascii="Times New Roman" w:hAnsi="Times New Roman" w:cs="Times New Roman" w:hint="eastAsia"/>
          <w:color w:val="000000" w:themeColor="text1"/>
          <w:sz w:val="22"/>
        </w:rPr>
        <w:t>]  TR</w:t>
      </w:r>
      <w:proofErr w:type="gramEnd"/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36.839, </w:t>
      </w:r>
      <w:r>
        <w:rPr>
          <w:rFonts w:ascii="Times New Roman" w:hAnsi="Times New Roman" w:cs="Times New Roman"/>
          <w:color w:val="000000" w:themeColor="text1"/>
          <w:sz w:val="22"/>
        </w:rPr>
        <w:t>“</w:t>
      </w:r>
      <w:r w:rsidRPr="00BA7721">
        <w:rPr>
          <w:rFonts w:ascii="Times New Roman" w:hAnsi="Times New Roman" w:cs="Times New Roman"/>
          <w:color w:val="000000" w:themeColor="text1"/>
          <w:sz w:val="22"/>
        </w:rPr>
        <w:t>E-UTRA</w:t>
      </w:r>
      <w:r>
        <w:rPr>
          <w:rFonts w:ascii="Times New Roman" w:hAnsi="Times New Roman" w:cs="Times New Roman"/>
          <w:color w:val="000000" w:themeColor="text1"/>
          <w:sz w:val="22"/>
        </w:rPr>
        <w:t>;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BA7721">
        <w:rPr>
          <w:rFonts w:ascii="Times New Roman" w:hAnsi="Times New Roman" w:cs="Times New Roman"/>
          <w:color w:val="000000" w:themeColor="text1"/>
          <w:sz w:val="22"/>
        </w:rPr>
        <w:t>Mobility enhanceme</w:t>
      </w:r>
      <w:r>
        <w:rPr>
          <w:rFonts w:ascii="Times New Roman" w:hAnsi="Times New Roman" w:cs="Times New Roman"/>
          <w:color w:val="000000" w:themeColor="text1"/>
          <w:sz w:val="22"/>
        </w:rPr>
        <w:t>nts in heterogeneous networks</w:t>
      </w:r>
      <w:r>
        <w:rPr>
          <w:rFonts w:ascii="Times New Roman" w:hAnsi="Times New Roman" w:cs="Times New Roman" w:hint="eastAsia"/>
          <w:color w:val="000000" w:themeColor="text1"/>
          <w:sz w:val="22"/>
        </w:rPr>
        <w:t>, V11.1.0,</w:t>
      </w:r>
      <w:r>
        <w:rPr>
          <w:rFonts w:ascii="Times New Roman" w:hAnsi="Times New Roman" w:cs="Times New Roman"/>
          <w:color w:val="000000" w:themeColor="text1"/>
          <w:sz w:val="22"/>
        </w:rPr>
        <w:t>”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</w:rPr>
        <w:t xml:space="preserve">December </w:t>
      </w:r>
      <w:r>
        <w:rPr>
          <w:rFonts w:ascii="Times New Roman" w:hAnsi="Times New Roman" w:cs="Times New Roman" w:hint="eastAsia"/>
          <w:color w:val="000000" w:themeColor="text1"/>
          <w:sz w:val="22"/>
        </w:rPr>
        <w:t>2012.</w:t>
      </w:r>
    </w:p>
    <w:p w:rsidR="00116951" w:rsidRDefault="00116951" w:rsidP="0011695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8B78C3">
        <w:rPr>
          <w:rFonts w:ascii="Times New Roman" w:hAnsi="Times New Roman" w:cs="Times New Roman" w:hint="eastAsia"/>
          <w:color w:val="000000" w:themeColor="text1"/>
          <w:sz w:val="22"/>
        </w:rPr>
        <w:t>[</w:t>
      </w:r>
      <w:r>
        <w:rPr>
          <w:rFonts w:ascii="Times New Roman" w:hAnsi="Times New Roman" w:cs="Times New Roman" w:hint="eastAsia"/>
          <w:color w:val="000000" w:themeColor="text1"/>
          <w:sz w:val="22"/>
        </w:rPr>
        <w:t>2</w:t>
      </w:r>
      <w:proofErr w:type="gramStart"/>
      <w:r w:rsidRPr="008B78C3">
        <w:rPr>
          <w:rFonts w:ascii="Times New Roman" w:hAnsi="Times New Roman" w:cs="Times New Roman" w:hint="eastAsia"/>
          <w:color w:val="000000" w:themeColor="text1"/>
          <w:sz w:val="22"/>
        </w:rPr>
        <w:t xml:space="preserve">]  </w:t>
      </w:r>
      <w:r>
        <w:rPr>
          <w:rFonts w:ascii="Times New Roman" w:hAnsi="Times New Roman" w:cs="Times New Roman" w:hint="eastAsia"/>
          <w:color w:val="000000" w:themeColor="text1"/>
          <w:sz w:val="22"/>
        </w:rPr>
        <w:t>TS</w:t>
      </w:r>
      <w:proofErr w:type="gramEnd"/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36.304, </w:t>
      </w:r>
      <w:r>
        <w:rPr>
          <w:rFonts w:ascii="Times New Roman" w:hAnsi="Times New Roman" w:cs="Times New Roman"/>
          <w:color w:val="000000" w:themeColor="text1"/>
          <w:sz w:val="22"/>
        </w:rPr>
        <w:t>“</w:t>
      </w:r>
      <w:r w:rsidRPr="00090FC8">
        <w:rPr>
          <w:rFonts w:ascii="Times New Roman" w:hAnsi="Times New Roman" w:cs="Times New Roman"/>
          <w:color w:val="000000" w:themeColor="text1"/>
          <w:sz w:val="22"/>
        </w:rPr>
        <w:t>E-UTRA; User Equipment (UE) procedures in idle mod</w:t>
      </w:r>
      <w:r>
        <w:rPr>
          <w:rFonts w:ascii="Times New Roman" w:hAnsi="Times New Roman" w:cs="Times New Roman" w:hint="eastAsia"/>
          <w:color w:val="000000" w:themeColor="text1"/>
          <w:sz w:val="22"/>
        </w:rPr>
        <w:t>e, V13.5.0,</w:t>
      </w:r>
      <w:r>
        <w:rPr>
          <w:rFonts w:ascii="Times New Roman" w:hAnsi="Times New Roman" w:cs="Times New Roman"/>
          <w:color w:val="000000" w:themeColor="text1"/>
          <w:sz w:val="22"/>
        </w:rPr>
        <w:t>”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March 2017.</w:t>
      </w:r>
    </w:p>
    <w:p w:rsidR="00BA7721" w:rsidRPr="005C5CC1" w:rsidRDefault="008826D5" w:rsidP="00BA772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8B78C3">
        <w:rPr>
          <w:rFonts w:ascii="Times New Roman" w:hAnsi="Times New Roman" w:cs="Times New Roman" w:hint="eastAsia"/>
          <w:color w:val="000000" w:themeColor="text1"/>
          <w:sz w:val="22"/>
        </w:rPr>
        <w:t>[</w:t>
      </w:r>
      <w:r w:rsidR="00116951">
        <w:rPr>
          <w:rFonts w:ascii="Times New Roman" w:hAnsi="Times New Roman" w:cs="Times New Roman" w:hint="eastAsia"/>
          <w:color w:val="000000" w:themeColor="text1"/>
          <w:sz w:val="22"/>
        </w:rPr>
        <w:t>3</w:t>
      </w:r>
      <w:proofErr w:type="gramStart"/>
      <w:r w:rsidRPr="008B78C3">
        <w:rPr>
          <w:rFonts w:ascii="Times New Roman" w:hAnsi="Times New Roman" w:cs="Times New Roman" w:hint="eastAsia"/>
          <w:color w:val="000000" w:themeColor="text1"/>
          <w:sz w:val="22"/>
        </w:rPr>
        <w:t xml:space="preserve">]  </w:t>
      </w:r>
      <w:r w:rsidR="00DD16E2">
        <w:rPr>
          <w:rFonts w:ascii="Times New Roman" w:hAnsi="Times New Roman" w:cs="Times New Roman" w:hint="eastAsia"/>
          <w:color w:val="000000" w:themeColor="text1"/>
          <w:sz w:val="22"/>
        </w:rPr>
        <w:t>TS</w:t>
      </w:r>
      <w:proofErr w:type="gramEnd"/>
      <w:r w:rsidR="00DD16E2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="00104D01">
        <w:rPr>
          <w:rFonts w:ascii="Times New Roman" w:hAnsi="Times New Roman" w:cs="Times New Roman" w:hint="eastAsia"/>
          <w:color w:val="000000" w:themeColor="text1"/>
          <w:sz w:val="22"/>
        </w:rPr>
        <w:t>36.331</w:t>
      </w:r>
      <w:r w:rsidR="00090FC8"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 w:rsidR="00090FC8">
        <w:rPr>
          <w:rFonts w:ascii="Times New Roman" w:hAnsi="Times New Roman" w:cs="Times New Roman"/>
          <w:color w:val="000000" w:themeColor="text1"/>
          <w:sz w:val="22"/>
        </w:rPr>
        <w:t>“</w:t>
      </w:r>
      <w:r w:rsidR="00090FC8">
        <w:rPr>
          <w:rFonts w:ascii="Times New Roman" w:hAnsi="Times New Roman" w:cs="Times New Roman" w:hint="eastAsia"/>
          <w:color w:val="000000" w:themeColor="text1"/>
          <w:sz w:val="22"/>
        </w:rPr>
        <w:t xml:space="preserve">E-UTRA; </w:t>
      </w:r>
      <w:r w:rsidR="00090FC8" w:rsidRPr="00090FC8">
        <w:rPr>
          <w:rFonts w:ascii="Times New Roman" w:hAnsi="Times New Roman" w:cs="Times New Roman"/>
          <w:color w:val="000000" w:themeColor="text1"/>
          <w:sz w:val="22"/>
        </w:rPr>
        <w:t>Radio Resource Control (RRC); Protocol specification</w:t>
      </w:r>
      <w:r w:rsidR="00090FC8">
        <w:rPr>
          <w:rFonts w:ascii="Times New Roman" w:hAnsi="Times New Roman" w:cs="Times New Roman" w:hint="eastAsia"/>
          <w:color w:val="000000" w:themeColor="text1"/>
          <w:sz w:val="22"/>
        </w:rPr>
        <w:t>, V13.5.0,</w:t>
      </w:r>
      <w:r w:rsidR="00090FC8">
        <w:rPr>
          <w:rFonts w:ascii="Times New Roman" w:hAnsi="Times New Roman" w:cs="Times New Roman"/>
          <w:color w:val="000000" w:themeColor="text1"/>
          <w:sz w:val="22"/>
        </w:rPr>
        <w:t>”</w:t>
      </w:r>
      <w:r w:rsidR="00090FC8">
        <w:rPr>
          <w:rFonts w:ascii="Times New Roman" w:hAnsi="Times New Roman" w:cs="Times New Roman" w:hint="eastAsia"/>
          <w:color w:val="000000" w:themeColor="text1"/>
          <w:sz w:val="22"/>
        </w:rPr>
        <w:t xml:space="preserve"> March 2017.</w:t>
      </w:r>
    </w:p>
    <w:sectPr w:rsidR="00BA7721" w:rsidRPr="005C5CC1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6B8" w:rsidRDefault="005116B8" w:rsidP="00C82ABC">
      <w:pPr>
        <w:spacing w:after="0" w:line="240" w:lineRule="auto"/>
      </w:pPr>
      <w:r>
        <w:separator/>
      </w:r>
    </w:p>
  </w:endnote>
  <w:endnote w:type="continuationSeparator" w:id="0">
    <w:p w:rsidR="005116B8" w:rsidRDefault="005116B8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6B8" w:rsidRDefault="005116B8" w:rsidP="00C82ABC">
      <w:pPr>
        <w:spacing w:after="0" w:line="240" w:lineRule="auto"/>
      </w:pPr>
      <w:r>
        <w:separator/>
      </w:r>
    </w:p>
  </w:footnote>
  <w:footnote w:type="continuationSeparator" w:id="0">
    <w:p w:rsidR="005116B8" w:rsidRDefault="005116B8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0B68"/>
    <w:multiLevelType w:val="hybridMultilevel"/>
    <w:tmpl w:val="92DC9356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2B5582"/>
    <w:multiLevelType w:val="hybridMultilevel"/>
    <w:tmpl w:val="FFB2153E"/>
    <w:lvl w:ilvl="0" w:tplc="0BB6AA2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BF26B8A"/>
    <w:multiLevelType w:val="hybridMultilevel"/>
    <w:tmpl w:val="B36E12A8"/>
    <w:lvl w:ilvl="0" w:tplc="BC6291F4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0583CCC"/>
    <w:multiLevelType w:val="hybridMultilevel"/>
    <w:tmpl w:val="9F96DB3C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2606D03"/>
    <w:multiLevelType w:val="hybridMultilevel"/>
    <w:tmpl w:val="846E037C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B1B77E5"/>
    <w:multiLevelType w:val="hybridMultilevel"/>
    <w:tmpl w:val="93106FE8"/>
    <w:lvl w:ilvl="0" w:tplc="523A00B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2F5B7894"/>
    <w:multiLevelType w:val="hybridMultilevel"/>
    <w:tmpl w:val="20526E9A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0B6709A"/>
    <w:multiLevelType w:val="hybridMultilevel"/>
    <w:tmpl w:val="26468F8A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28F6259"/>
    <w:multiLevelType w:val="hybridMultilevel"/>
    <w:tmpl w:val="9A38D182"/>
    <w:lvl w:ilvl="0" w:tplc="523A00B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335B6399"/>
    <w:multiLevelType w:val="hybridMultilevel"/>
    <w:tmpl w:val="960CCD06"/>
    <w:lvl w:ilvl="0" w:tplc="523A00BA">
      <w:start w:val="1"/>
      <w:numFmt w:val="bullet"/>
      <w:lvlText w:val=""/>
      <w:lvlJc w:val="left"/>
      <w:pPr>
        <w:ind w:left="502" w:hanging="360"/>
      </w:pPr>
      <w:rPr>
        <w:rFonts w:ascii="Wingdings" w:hAnsi="Wingdings" w:hint="default"/>
      </w:rPr>
    </w:lvl>
    <w:lvl w:ilvl="1" w:tplc="1BD2BD3A">
      <w:start w:val="4"/>
      <w:numFmt w:val="bullet"/>
      <w:lvlText w:val="–"/>
      <w:lvlJc w:val="left"/>
      <w:pPr>
        <w:ind w:left="968" w:hanging="400"/>
      </w:pPr>
      <w:rPr>
        <w:rFonts w:ascii="바탕" w:eastAsia="바탕" w:hAnsi="바탕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1">
    <w:nsid w:val="3B8B01D3"/>
    <w:multiLevelType w:val="hybridMultilevel"/>
    <w:tmpl w:val="6EC4F8E8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367D54"/>
    <w:multiLevelType w:val="hybridMultilevel"/>
    <w:tmpl w:val="E696CCD0"/>
    <w:lvl w:ilvl="0" w:tplc="F5C07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562A3F7B"/>
    <w:multiLevelType w:val="hybridMultilevel"/>
    <w:tmpl w:val="6C68552C"/>
    <w:lvl w:ilvl="0" w:tplc="23524B1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AD148D9"/>
    <w:multiLevelType w:val="hybridMultilevel"/>
    <w:tmpl w:val="792C178A"/>
    <w:lvl w:ilvl="0" w:tplc="D4BA889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60C70D4A"/>
    <w:multiLevelType w:val="hybridMultilevel"/>
    <w:tmpl w:val="4C36479E"/>
    <w:lvl w:ilvl="0" w:tplc="180E34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>
    <w:nsid w:val="62FB7727"/>
    <w:multiLevelType w:val="hybridMultilevel"/>
    <w:tmpl w:val="E7F8BBC0"/>
    <w:lvl w:ilvl="0" w:tplc="9B3844F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8457929"/>
    <w:multiLevelType w:val="hybridMultilevel"/>
    <w:tmpl w:val="CF104F08"/>
    <w:lvl w:ilvl="0" w:tplc="12E65254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36C4BA7"/>
    <w:multiLevelType w:val="hybridMultilevel"/>
    <w:tmpl w:val="0D526F44"/>
    <w:lvl w:ilvl="0" w:tplc="AA342B2E">
      <w:start w:val="4"/>
      <w:numFmt w:val="bullet"/>
      <w:lvlText w:val="–"/>
      <w:lvlJc w:val="left"/>
      <w:pPr>
        <w:ind w:left="968" w:hanging="4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19">
    <w:nsid w:val="79C14183"/>
    <w:multiLevelType w:val="hybridMultilevel"/>
    <w:tmpl w:val="42CE6F5A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8"/>
  </w:num>
  <w:num w:numId="4">
    <w:abstractNumId w:val="17"/>
  </w:num>
  <w:num w:numId="5">
    <w:abstractNumId w:val="2"/>
  </w:num>
  <w:num w:numId="6">
    <w:abstractNumId w:val="3"/>
  </w:num>
  <w:num w:numId="7">
    <w:abstractNumId w:val="19"/>
  </w:num>
  <w:num w:numId="8">
    <w:abstractNumId w:val="13"/>
  </w:num>
  <w:num w:numId="9">
    <w:abstractNumId w:val="7"/>
  </w:num>
  <w:num w:numId="10">
    <w:abstractNumId w:val="4"/>
  </w:num>
  <w:num w:numId="11">
    <w:abstractNumId w:val="11"/>
  </w:num>
  <w:num w:numId="12">
    <w:abstractNumId w:val="6"/>
  </w:num>
  <w:num w:numId="13">
    <w:abstractNumId w:val="9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14"/>
  </w:num>
  <w:num w:numId="20">
    <w:abstractNumId w:val="10"/>
  </w:num>
  <w:num w:numId="2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146A"/>
    <w:rsid w:val="000038F7"/>
    <w:rsid w:val="0001114C"/>
    <w:rsid w:val="00011866"/>
    <w:rsid w:val="00011FF0"/>
    <w:rsid w:val="00013A06"/>
    <w:rsid w:val="00014259"/>
    <w:rsid w:val="00016E0A"/>
    <w:rsid w:val="00017ED1"/>
    <w:rsid w:val="000224F4"/>
    <w:rsid w:val="00024049"/>
    <w:rsid w:val="0002429F"/>
    <w:rsid w:val="00024A53"/>
    <w:rsid w:val="00025C6A"/>
    <w:rsid w:val="00026FA5"/>
    <w:rsid w:val="00033BE2"/>
    <w:rsid w:val="00036872"/>
    <w:rsid w:val="00037ED3"/>
    <w:rsid w:val="00040AF2"/>
    <w:rsid w:val="000425C3"/>
    <w:rsid w:val="00044272"/>
    <w:rsid w:val="00050286"/>
    <w:rsid w:val="000553A4"/>
    <w:rsid w:val="00057FD7"/>
    <w:rsid w:val="00060606"/>
    <w:rsid w:val="00062004"/>
    <w:rsid w:val="00062269"/>
    <w:rsid w:val="00063443"/>
    <w:rsid w:val="00064C70"/>
    <w:rsid w:val="0006710E"/>
    <w:rsid w:val="00067A5F"/>
    <w:rsid w:val="0007081B"/>
    <w:rsid w:val="00072405"/>
    <w:rsid w:val="000737EC"/>
    <w:rsid w:val="00074648"/>
    <w:rsid w:val="00075214"/>
    <w:rsid w:val="000763D2"/>
    <w:rsid w:val="0007769D"/>
    <w:rsid w:val="0008093C"/>
    <w:rsid w:val="000822DB"/>
    <w:rsid w:val="000824F1"/>
    <w:rsid w:val="00086E26"/>
    <w:rsid w:val="00090FC8"/>
    <w:rsid w:val="0009101D"/>
    <w:rsid w:val="00091188"/>
    <w:rsid w:val="00093D1C"/>
    <w:rsid w:val="000A2EEF"/>
    <w:rsid w:val="000B0BE6"/>
    <w:rsid w:val="000B1E8A"/>
    <w:rsid w:val="000B1F81"/>
    <w:rsid w:val="000B3F3A"/>
    <w:rsid w:val="000B41FB"/>
    <w:rsid w:val="000B4C44"/>
    <w:rsid w:val="000B6E2E"/>
    <w:rsid w:val="000B7104"/>
    <w:rsid w:val="000B7998"/>
    <w:rsid w:val="000C332F"/>
    <w:rsid w:val="000C4C24"/>
    <w:rsid w:val="000C7739"/>
    <w:rsid w:val="000D06A2"/>
    <w:rsid w:val="000D105C"/>
    <w:rsid w:val="000D169C"/>
    <w:rsid w:val="000D377A"/>
    <w:rsid w:val="000D4334"/>
    <w:rsid w:val="000D4822"/>
    <w:rsid w:val="000D6089"/>
    <w:rsid w:val="000D793A"/>
    <w:rsid w:val="000E5B93"/>
    <w:rsid w:val="000E6A47"/>
    <w:rsid w:val="000E6CE3"/>
    <w:rsid w:val="000F1B1D"/>
    <w:rsid w:val="000F20C3"/>
    <w:rsid w:val="000F28A4"/>
    <w:rsid w:val="000F4664"/>
    <w:rsid w:val="000F58C4"/>
    <w:rsid w:val="00104D01"/>
    <w:rsid w:val="00110B86"/>
    <w:rsid w:val="00110CA0"/>
    <w:rsid w:val="00111CA9"/>
    <w:rsid w:val="00112FA5"/>
    <w:rsid w:val="0011400E"/>
    <w:rsid w:val="00114071"/>
    <w:rsid w:val="00114B86"/>
    <w:rsid w:val="001152A9"/>
    <w:rsid w:val="00116951"/>
    <w:rsid w:val="001213AF"/>
    <w:rsid w:val="00122736"/>
    <w:rsid w:val="00123A3D"/>
    <w:rsid w:val="00126E45"/>
    <w:rsid w:val="0013112E"/>
    <w:rsid w:val="00131C49"/>
    <w:rsid w:val="00133657"/>
    <w:rsid w:val="00134DB6"/>
    <w:rsid w:val="00137D84"/>
    <w:rsid w:val="0014180C"/>
    <w:rsid w:val="00141B04"/>
    <w:rsid w:val="00143889"/>
    <w:rsid w:val="00143933"/>
    <w:rsid w:val="00144BD1"/>
    <w:rsid w:val="00150271"/>
    <w:rsid w:val="001528F0"/>
    <w:rsid w:val="00153761"/>
    <w:rsid w:val="001620AB"/>
    <w:rsid w:val="00164198"/>
    <w:rsid w:val="00165959"/>
    <w:rsid w:val="00165B3F"/>
    <w:rsid w:val="00170431"/>
    <w:rsid w:val="00170A6B"/>
    <w:rsid w:val="00175CEF"/>
    <w:rsid w:val="00176F14"/>
    <w:rsid w:val="00186729"/>
    <w:rsid w:val="00193D37"/>
    <w:rsid w:val="00195748"/>
    <w:rsid w:val="00196116"/>
    <w:rsid w:val="00196935"/>
    <w:rsid w:val="00197C6F"/>
    <w:rsid w:val="001A1515"/>
    <w:rsid w:val="001A3353"/>
    <w:rsid w:val="001A4838"/>
    <w:rsid w:val="001A684A"/>
    <w:rsid w:val="001A78AD"/>
    <w:rsid w:val="001B08C3"/>
    <w:rsid w:val="001B0EFA"/>
    <w:rsid w:val="001C5F0A"/>
    <w:rsid w:val="001D057E"/>
    <w:rsid w:val="001D0B81"/>
    <w:rsid w:val="001E058F"/>
    <w:rsid w:val="001E1E08"/>
    <w:rsid w:val="001E2184"/>
    <w:rsid w:val="001E35F1"/>
    <w:rsid w:val="001E55B9"/>
    <w:rsid w:val="001F0C79"/>
    <w:rsid w:val="001F1631"/>
    <w:rsid w:val="001F20B7"/>
    <w:rsid w:val="001F2728"/>
    <w:rsid w:val="001F5029"/>
    <w:rsid w:val="001F5950"/>
    <w:rsid w:val="001F616B"/>
    <w:rsid w:val="001F65F7"/>
    <w:rsid w:val="001F7F7E"/>
    <w:rsid w:val="00200146"/>
    <w:rsid w:val="00201F7C"/>
    <w:rsid w:val="00202A80"/>
    <w:rsid w:val="00203262"/>
    <w:rsid w:val="0020413E"/>
    <w:rsid w:val="00204A0D"/>
    <w:rsid w:val="00215BA4"/>
    <w:rsid w:val="00220F36"/>
    <w:rsid w:val="00221EA4"/>
    <w:rsid w:val="002226CA"/>
    <w:rsid w:val="00222B49"/>
    <w:rsid w:val="00227672"/>
    <w:rsid w:val="002407FD"/>
    <w:rsid w:val="002408F7"/>
    <w:rsid w:val="00241F43"/>
    <w:rsid w:val="0024462D"/>
    <w:rsid w:val="00244EDE"/>
    <w:rsid w:val="002456AE"/>
    <w:rsid w:val="002472ED"/>
    <w:rsid w:val="0025084C"/>
    <w:rsid w:val="0025158A"/>
    <w:rsid w:val="002541AD"/>
    <w:rsid w:val="002601EC"/>
    <w:rsid w:val="00260BA8"/>
    <w:rsid w:val="00262881"/>
    <w:rsid w:val="00262F4B"/>
    <w:rsid w:val="002640BE"/>
    <w:rsid w:val="00264308"/>
    <w:rsid w:val="00264A6C"/>
    <w:rsid w:val="002728D6"/>
    <w:rsid w:val="002730AE"/>
    <w:rsid w:val="002742BC"/>
    <w:rsid w:val="00280EB4"/>
    <w:rsid w:val="00281F08"/>
    <w:rsid w:val="00282C13"/>
    <w:rsid w:val="00284626"/>
    <w:rsid w:val="00284BD2"/>
    <w:rsid w:val="002917B7"/>
    <w:rsid w:val="00292546"/>
    <w:rsid w:val="0029272A"/>
    <w:rsid w:val="002A66A5"/>
    <w:rsid w:val="002B1C47"/>
    <w:rsid w:val="002B7040"/>
    <w:rsid w:val="002B7B10"/>
    <w:rsid w:val="002C239E"/>
    <w:rsid w:val="002C2E07"/>
    <w:rsid w:val="002C604C"/>
    <w:rsid w:val="002C724B"/>
    <w:rsid w:val="002C76E8"/>
    <w:rsid w:val="002D034D"/>
    <w:rsid w:val="002D052E"/>
    <w:rsid w:val="002E23EA"/>
    <w:rsid w:val="002E3131"/>
    <w:rsid w:val="002E372A"/>
    <w:rsid w:val="002E4329"/>
    <w:rsid w:val="002E528B"/>
    <w:rsid w:val="002F1A10"/>
    <w:rsid w:val="002F20A4"/>
    <w:rsid w:val="002F2634"/>
    <w:rsid w:val="002F3816"/>
    <w:rsid w:val="003019F3"/>
    <w:rsid w:val="00301A88"/>
    <w:rsid w:val="003077EF"/>
    <w:rsid w:val="003148E9"/>
    <w:rsid w:val="003207C0"/>
    <w:rsid w:val="00320B2D"/>
    <w:rsid w:val="00322595"/>
    <w:rsid w:val="003231B2"/>
    <w:rsid w:val="00325E42"/>
    <w:rsid w:val="00330D44"/>
    <w:rsid w:val="0033276E"/>
    <w:rsid w:val="003339B4"/>
    <w:rsid w:val="00336AB2"/>
    <w:rsid w:val="00337E10"/>
    <w:rsid w:val="00340445"/>
    <w:rsid w:val="003527A1"/>
    <w:rsid w:val="00355BDE"/>
    <w:rsid w:val="003574F7"/>
    <w:rsid w:val="003607F9"/>
    <w:rsid w:val="0036197A"/>
    <w:rsid w:val="003632DB"/>
    <w:rsid w:val="0036344F"/>
    <w:rsid w:val="00363A83"/>
    <w:rsid w:val="003658EB"/>
    <w:rsid w:val="00371B77"/>
    <w:rsid w:val="00374737"/>
    <w:rsid w:val="003817A4"/>
    <w:rsid w:val="0038193B"/>
    <w:rsid w:val="003841E5"/>
    <w:rsid w:val="003858F1"/>
    <w:rsid w:val="00390806"/>
    <w:rsid w:val="0039454E"/>
    <w:rsid w:val="003A1353"/>
    <w:rsid w:val="003A36DB"/>
    <w:rsid w:val="003A39A5"/>
    <w:rsid w:val="003A4302"/>
    <w:rsid w:val="003A5D80"/>
    <w:rsid w:val="003A6A07"/>
    <w:rsid w:val="003B64F8"/>
    <w:rsid w:val="003C2F9B"/>
    <w:rsid w:val="003C4C12"/>
    <w:rsid w:val="003C54E0"/>
    <w:rsid w:val="003C6EFE"/>
    <w:rsid w:val="003D6512"/>
    <w:rsid w:val="003E153B"/>
    <w:rsid w:val="003E535B"/>
    <w:rsid w:val="003E558E"/>
    <w:rsid w:val="003E5878"/>
    <w:rsid w:val="003E7189"/>
    <w:rsid w:val="003E740D"/>
    <w:rsid w:val="003F0265"/>
    <w:rsid w:val="003F0DAD"/>
    <w:rsid w:val="003F4A38"/>
    <w:rsid w:val="003F6A70"/>
    <w:rsid w:val="00405B4B"/>
    <w:rsid w:val="00410766"/>
    <w:rsid w:val="00413B7E"/>
    <w:rsid w:val="00414FD4"/>
    <w:rsid w:val="00415323"/>
    <w:rsid w:val="00415E4B"/>
    <w:rsid w:val="00416D75"/>
    <w:rsid w:val="00423E38"/>
    <w:rsid w:val="00424D3D"/>
    <w:rsid w:val="00426AE6"/>
    <w:rsid w:val="00431994"/>
    <w:rsid w:val="0043327F"/>
    <w:rsid w:val="004367A4"/>
    <w:rsid w:val="00437702"/>
    <w:rsid w:val="00440514"/>
    <w:rsid w:val="00444072"/>
    <w:rsid w:val="00445824"/>
    <w:rsid w:val="0045411E"/>
    <w:rsid w:val="00455824"/>
    <w:rsid w:val="004572BB"/>
    <w:rsid w:val="004615F0"/>
    <w:rsid w:val="00463F29"/>
    <w:rsid w:val="0046519B"/>
    <w:rsid w:val="00465A8D"/>
    <w:rsid w:val="0046760F"/>
    <w:rsid w:val="00467795"/>
    <w:rsid w:val="00470E56"/>
    <w:rsid w:val="004734E1"/>
    <w:rsid w:val="0047451B"/>
    <w:rsid w:val="00474849"/>
    <w:rsid w:val="00476E16"/>
    <w:rsid w:val="0048585B"/>
    <w:rsid w:val="00485AFB"/>
    <w:rsid w:val="00486247"/>
    <w:rsid w:val="00494BFA"/>
    <w:rsid w:val="004966E7"/>
    <w:rsid w:val="004A0BC7"/>
    <w:rsid w:val="004A2479"/>
    <w:rsid w:val="004B2471"/>
    <w:rsid w:val="004B2BB9"/>
    <w:rsid w:val="004B54D6"/>
    <w:rsid w:val="004B644E"/>
    <w:rsid w:val="004C0099"/>
    <w:rsid w:val="004C0293"/>
    <w:rsid w:val="004C0956"/>
    <w:rsid w:val="004C2598"/>
    <w:rsid w:val="004C7A9D"/>
    <w:rsid w:val="004C7C04"/>
    <w:rsid w:val="004D1EC9"/>
    <w:rsid w:val="004D4DDD"/>
    <w:rsid w:val="004D7D4C"/>
    <w:rsid w:val="004E0853"/>
    <w:rsid w:val="004E0B79"/>
    <w:rsid w:val="004E49F4"/>
    <w:rsid w:val="004E5F7E"/>
    <w:rsid w:val="004F509F"/>
    <w:rsid w:val="004F6040"/>
    <w:rsid w:val="004F6D40"/>
    <w:rsid w:val="004F7027"/>
    <w:rsid w:val="00500E73"/>
    <w:rsid w:val="00502237"/>
    <w:rsid w:val="00507D0C"/>
    <w:rsid w:val="005116B8"/>
    <w:rsid w:val="00512C3D"/>
    <w:rsid w:val="0051416D"/>
    <w:rsid w:val="00515853"/>
    <w:rsid w:val="005162FF"/>
    <w:rsid w:val="00523A38"/>
    <w:rsid w:val="00524D43"/>
    <w:rsid w:val="005303C3"/>
    <w:rsid w:val="005305CD"/>
    <w:rsid w:val="005334FC"/>
    <w:rsid w:val="00534B29"/>
    <w:rsid w:val="00536C36"/>
    <w:rsid w:val="0053770E"/>
    <w:rsid w:val="00537E1C"/>
    <w:rsid w:val="005463EE"/>
    <w:rsid w:val="0054706B"/>
    <w:rsid w:val="00551A39"/>
    <w:rsid w:val="00553A44"/>
    <w:rsid w:val="005545A7"/>
    <w:rsid w:val="00555CE1"/>
    <w:rsid w:val="00556E38"/>
    <w:rsid w:val="00560D32"/>
    <w:rsid w:val="00562205"/>
    <w:rsid w:val="00562538"/>
    <w:rsid w:val="005625E4"/>
    <w:rsid w:val="00565A63"/>
    <w:rsid w:val="005776CE"/>
    <w:rsid w:val="00581828"/>
    <w:rsid w:val="00584676"/>
    <w:rsid w:val="00587384"/>
    <w:rsid w:val="005908F1"/>
    <w:rsid w:val="00591C5F"/>
    <w:rsid w:val="00593147"/>
    <w:rsid w:val="0059334D"/>
    <w:rsid w:val="00595FB5"/>
    <w:rsid w:val="005A24F3"/>
    <w:rsid w:val="005A2E6C"/>
    <w:rsid w:val="005A413E"/>
    <w:rsid w:val="005A617C"/>
    <w:rsid w:val="005A66BB"/>
    <w:rsid w:val="005A7477"/>
    <w:rsid w:val="005B09F5"/>
    <w:rsid w:val="005B22C2"/>
    <w:rsid w:val="005B24D1"/>
    <w:rsid w:val="005B6697"/>
    <w:rsid w:val="005B6793"/>
    <w:rsid w:val="005C244D"/>
    <w:rsid w:val="005C34E1"/>
    <w:rsid w:val="005C4F3B"/>
    <w:rsid w:val="005C5791"/>
    <w:rsid w:val="005C5CC1"/>
    <w:rsid w:val="005C610C"/>
    <w:rsid w:val="005C6EAD"/>
    <w:rsid w:val="005D1FF3"/>
    <w:rsid w:val="005D60F4"/>
    <w:rsid w:val="005D713C"/>
    <w:rsid w:val="005D7173"/>
    <w:rsid w:val="005E1004"/>
    <w:rsid w:val="005F4C9D"/>
    <w:rsid w:val="00600E3D"/>
    <w:rsid w:val="00603151"/>
    <w:rsid w:val="006035AE"/>
    <w:rsid w:val="00606071"/>
    <w:rsid w:val="00613312"/>
    <w:rsid w:val="00614794"/>
    <w:rsid w:val="006160DF"/>
    <w:rsid w:val="006163C7"/>
    <w:rsid w:val="006178FC"/>
    <w:rsid w:val="0062110D"/>
    <w:rsid w:val="006229C8"/>
    <w:rsid w:val="00633A6A"/>
    <w:rsid w:val="00635564"/>
    <w:rsid w:val="00636534"/>
    <w:rsid w:val="00637AAA"/>
    <w:rsid w:val="00642207"/>
    <w:rsid w:val="00647145"/>
    <w:rsid w:val="006476B4"/>
    <w:rsid w:val="006506BD"/>
    <w:rsid w:val="00651650"/>
    <w:rsid w:val="006534E8"/>
    <w:rsid w:val="00660F0D"/>
    <w:rsid w:val="006626D9"/>
    <w:rsid w:val="0066313C"/>
    <w:rsid w:val="00663178"/>
    <w:rsid w:val="00670A27"/>
    <w:rsid w:val="00673930"/>
    <w:rsid w:val="006763C1"/>
    <w:rsid w:val="00685CFD"/>
    <w:rsid w:val="00685D65"/>
    <w:rsid w:val="00686897"/>
    <w:rsid w:val="00686D3A"/>
    <w:rsid w:val="00686E73"/>
    <w:rsid w:val="006914AC"/>
    <w:rsid w:val="00692503"/>
    <w:rsid w:val="00692F18"/>
    <w:rsid w:val="00693D9D"/>
    <w:rsid w:val="006953B7"/>
    <w:rsid w:val="006963A0"/>
    <w:rsid w:val="00697C8E"/>
    <w:rsid w:val="006A2926"/>
    <w:rsid w:val="006A2D28"/>
    <w:rsid w:val="006A3396"/>
    <w:rsid w:val="006A7E93"/>
    <w:rsid w:val="006B22CA"/>
    <w:rsid w:val="006B476F"/>
    <w:rsid w:val="006C278D"/>
    <w:rsid w:val="006C288C"/>
    <w:rsid w:val="006C2952"/>
    <w:rsid w:val="006C3D50"/>
    <w:rsid w:val="006C6DF6"/>
    <w:rsid w:val="006D02FD"/>
    <w:rsid w:val="006D0B8C"/>
    <w:rsid w:val="006D0E7B"/>
    <w:rsid w:val="006D0FC5"/>
    <w:rsid w:val="006D53ED"/>
    <w:rsid w:val="006E25D7"/>
    <w:rsid w:val="006F2502"/>
    <w:rsid w:val="006F4D23"/>
    <w:rsid w:val="006F5252"/>
    <w:rsid w:val="007041EA"/>
    <w:rsid w:val="007052E9"/>
    <w:rsid w:val="0070768F"/>
    <w:rsid w:val="00710AA3"/>
    <w:rsid w:val="00711363"/>
    <w:rsid w:val="00711A8A"/>
    <w:rsid w:val="00711F65"/>
    <w:rsid w:val="0071286B"/>
    <w:rsid w:val="0071343B"/>
    <w:rsid w:val="007222ED"/>
    <w:rsid w:val="007234C7"/>
    <w:rsid w:val="00726F15"/>
    <w:rsid w:val="007313E3"/>
    <w:rsid w:val="00733074"/>
    <w:rsid w:val="00734365"/>
    <w:rsid w:val="00734A4B"/>
    <w:rsid w:val="007361E5"/>
    <w:rsid w:val="0073620F"/>
    <w:rsid w:val="007376E6"/>
    <w:rsid w:val="0074061A"/>
    <w:rsid w:val="00741BE8"/>
    <w:rsid w:val="007442F4"/>
    <w:rsid w:val="00744817"/>
    <w:rsid w:val="00747EF8"/>
    <w:rsid w:val="00752BEA"/>
    <w:rsid w:val="00753D06"/>
    <w:rsid w:val="00754282"/>
    <w:rsid w:val="00756431"/>
    <w:rsid w:val="00757E50"/>
    <w:rsid w:val="00760F20"/>
    <w:rsid w:val="00761643"/>
    <w:rsid w:val="00764357"/>
    <w:rsid w:val="00766B51"/>
    <w:rsid w:val="0076722E"/>
    <w:rsid w:val="007735FD"/>
    <w:rsid w:val="0078411B"/>
    <w:rsid w:val="00784B34"/>
    <w:rsid w:val="0078721A"/>
    <w:rsid w:val="00790561"/>
    <w:rsid w:val="0079234A"/>
    <w:rsid w:val="007923F7"/>
    <w:rsid w:val="007A061B"/>
    <w:rsid w:val="007A0C5A"/>
    <w:rsid w:val="007A7C7C"/>
    <w:rsid w:val="007B0877"/>
    <w:rsid w:val="007B4ACA"/>
    <w:rsid w:val="007B6E9B"/>
    <w:rsid w:val="007C2679"/>
    <w:rsid w:val="007C4BFC"/>
    <w:rsid w:val="007C5196"/>
    <w:rsid w:val="007C65C8"/>
    <w:rsid w:val="007D37CA"/>
    <w:rsid w:val="007D3D6B"/>
    <w:rsid w:val="007D532E"/>
    <w:rsid w:val="007D7A35"/>
    <w:rsid w:val="007E0937"/>
    <w:rsid w:val="007E3007"/>
    <w:rsid w:val="007E4655"/>
    <w:rsid w:val="007E6D77"/>
    <w:rsid w:val="007E7A88"/>
    <w:rsid w:val="007F0E08"/>
    <w:rsid w:val="007F6B13"/>
    <w:rsid w:val="007F7275"/>
    <w:rsid w:val="0080277F"/>
    <w:rsid w:val="00803192"/>
    <w:rsid w:val="008048BD"/>
    <w:rsid w:val="00804C44"/>
    <w:rsid w:val="00804CD2"/>
    <w:rsid w:val="00812174"/>
    <w:rsid w:val="00812FB1"/>
    <w:rsid w:val="00813BAC"/>
    <w:rsid w:val="00816439"/>
    <w:rsid w:val="00816711"/>
    <w:rsid w:val="00817973"/>
    <w:rsid w:val="00817C90"/>
    <w:rsid w:val="00817E2C"/>
    <w:rsid w:val="00825FBC"/>
    <w:rsid w:val="00831FD1"/>
    <w:rsid w:val="00832D4C"/>
    <w:rsid w:val="00835320"/>
    <w:rsid w:val="0083785E"/>
    <w:rsid w:val="00841A16"/>
    <w:rsid w:val="008475D4"/>
    <w:rsid w:val="0085154F"/>
    <w:rsid w:val="00871EE8"/>
    <w:rsid w:val="0087239F"/>
    <w:rsid w:val="00873369"/>
    <w:rsid w:val="0087481E"/>
    <w:rsid w:val="00876617"/>
    <w:rsid w:val="00876AD8"/>
    <w:rsid w:val="00876C2B"/>
    <w:rsid w:val="00880620"/>
    <w:rsid w:val="008826D5"/>
    <w:rsid w:val="0088623A"/>
    <w:rsid w:val="008868EA"/>
    <w:rsid w:val="00890001"/>
    <w:rsid w:val="0089059A"/>
    <w:rsid w:val="00891B38"/>
    <w:rsid w:val="008A4CE1"/>
    <w:rsid w:val="008A5029"/>
    <w:rsid w:val="008A5FA5"/>
    <w:rsid w:val="008A6D01"/>
    <w:rsid w:val="008B1A47"/>
    <w:rsid w:val="008B3B3E"/>
    <w:rsid w:val="008B4EB2"/>
    <w:rsid w:val="008B5DFE"/>
    <w:rsid w:val="008B61B8"/>
    <w:rsid w:val="008B78C3"/>
    <w:rsid w:val="008C006B"/>
    <w:rsid w:val="008C4A9A"/>
    <w:rsid w:val="008C5A19"/>
    <w:rsid w:val="008C6C67"/>
    <w:rsid w:val="008D191D"/>
    <w:rsid w:val="008D20D5"/>
    <w:rsid w:val="008D2CA1"/>
    <w:rsid w:val="008D4D35"/>
    <w:rsid w:val="008D54F4"/>
    <w:rsid w:val="008D6CCD"/>
    <w:rsid w:val="008E3424"/>
    <w:rsid w:val="008F15C6"/>
    <w:rsid w:val="008F1ABC"/>
    <w:rsid w:val="008F21E4"/>
    <w:rsid w:val="008F3726"/>
    <w:rsid w:val="008F6B2F"/>
    <w:rsid w:val="008F6E0B"/>
    <w:rsid w:val="008F7F4B"/>
    <w:rsid w:val="009045BA"/>
    <w:rsid w:val="0090486C"/>
    <w:rsid w:val="0090700D"/>
    <w:rsid w:val="00910450"/>
    <w:rsid w:val="009116C9"/>
    <w:rsid w:val="0091197A"/>
    <w:rsid w:val="00911CE1"/>
    <w:rsid w:val="00913E09"/>
    <w:rsid w:val="00920797"/>
    <w:rsid w:val="00921914"/>
    <w:rsid w:val="00921D88"/>
    <w:rsid w:val="009237AE"/>
    <w:rsid w:val="00923B82"/>
    <w:rsid w:val="00925CC4"/>
    <w:rsid w:val="00926556"/>
    <w:rsid w:val="00930604"/>
    <w:rsid w:val="00932C71"/>
    <w:rsid w:val="009371A5"/>
    <w:rsid w:val="00940C71"/>
    <w:rsid w:val="00940D79"/>
    <w:rsid w:val="00941B8E"/>
    <w:rsid w:val="009441A8"/>
    <w:rsid w:val="009472A4"/>
    <w:rsid w:val="009540B7"/>
    <w:rsid w:val="009547DF"/>
    <w:rsid w:val="00954952"/>
    <w:rsid w:val="00956670"/>
    <w:rsid w:val="00956F19"/>
    <w:rsid w:val="009579BD"/>
    <w:rsid w:val="0096315B"/>
    <w:rsid w:val="00967FE1"/>
    <w:rsid w:val="009711B2"/>
    <w:rsid w:val="009751E9"/>
    <w:rsid w:val="00977633"/>
    <w:rsid w:val="009776B5"/>
    <w:rsid w:val="00982B23"/>
    <w:rsid w:val="00985523"/>
    <w:rsid w:val="009951AC"/>
    <w:rsid w:val="00995FC4"/>
    <w:rsid w:val="00997987"/>
    <w:rsid w:val="009A0F58"/>
    <w:rsid w:val="009A2157"/>
    <w:rsid w:val="009A23EF"/>
    <w:rsid w:val="009A48CD"/>
    <w:rsid w:val="009A4CF3"/>
    <w:rsid w:val="009A5563"/>
    <w:rsid w:val="009A6795"/>
    <w:rsid w:val="009A6DDD"/>
    <w:rsid w:val="009A790F"/>
    <w:rsid w:val="009B06F0"/>
    <w:rsid w:val="009B0850"/>
    <w:rsid w:val="009B108E"/>
    <w:rsid w:val="009B127A"/>
    <w:rsid w:val="009B2AC3"/>
    <w:rsid w:val="009B2E21"/>
    <w:rsid w:val="009B52A2"/>
    <w:rsid w:val="009C0215"/>
    <w:rsid w:val="009C0AB3"/>
    <w:rsid w:val="009C1E8E"/>
    <w:rsid w:val="009C372A"/>
    <w:rsid w:val="009C50D4"/>
    <w:rsid w:val="009C6C65"/>
    <w:rsid w:val="009D2B67"/>
    <w:rsid w:val="009E4539"/>
    <w:rsid w:val="009E574D"/>
    <w:rsid w:val="009F0D3C"/>
    <w:rsid w:val="009F11D9"/>
    <w:rsid w:val="009F19E7"/>
    <w:rsid w:val="009F385A"/>
    <w:rsid w:val="009F5668"/>
    <w:rsid w:val="00A04307"/>
    <w:rsid w:val="00A04811"/>
    <w:rsid w:val="00A05981"/>
    <w:rsid w:val="00A074FD"/>
    <w:rsid w:val="00A1122A"/>
    <w:rsid w:val="00A145A0"/>
    <w:rsid w:val="00A15AB6"/>
    <w:rsid w:val="00A2083E"/>
    <w:rsid w:val="00A209C2"/>
    <w:rsid w:val="00A21921"/>
    <w:rsid w:val="00A21D56"/>
    <w:rsid w:val="00A21EA8"/>
    <w:rsid w:val="00A2285F"/>
    <w:rsid w:val="00A2440F"/>
    <w:rsid w:val="00A25698"/>
    <w:rsid w:val="00A272FB"/>
    <w:rsid w:val="00A35B96"/>
    <w:rsid w:val="00A36E5F"/>
    <w:rsid w:val="00A375D6"/>
    <w:rsid w:val="00A4073A"/>
    <w:rsid w:val="00A43282"/>
    <w:rsid w:val="00A45C43"/>
    <w:rsid w:val="00A45CE8"/>
    <w:rsid w:val="00A47D7B"/>
    <w:rsid w:val="00A50198"/>
    <w:rsid w:val="00A539D9"/>
    <w:rsid w:val="00A57CE5"/>
    <w:rsid w:val="00A609B9"/>
    <w:rsid w:val="00A666DC"/>
    <w:rsid w:val="00A70BB5"/>
    <w:rsid w:val="00A81376"/>
    <w:rsid w:val="00A8193B"/>
    <w:rsid w:val="00A82166"/>
    <w:rsid w:val="00A8513E"/>
    <w:rsid w:val="00A8661E"/>
    <w:rsid w:val="00A86E42"/>
    <w:rsid w:val="00A87636"/>
    <w:rsid w:val="00A91A94"/>
    <w:rsid w:val="00A92F85"/>
    <w:rsid w:val="00A968EB"/>
    <w:rsid w:val="00A96D77"/>
    <w:rsid w:val="00A9713F"/>
    <w:rsid w:val="00A971B1"/>
    <w:rsid w:val="00A97E82"/>
    <w:rsid w:val="00AA68A2"/>
    <w:rsid w:val="00AA6E2E"/>
    <w:rsid w:val="00AB2CCD"/>
    <w:rsid w:val="00AC3BA7"/>
    <w:rsid w:val="00AC4CE6"/>
    <w:rsid w:val="00AC6CBB"/>
    <w:rsid w:val="00AC6E35"/>
    <w:rsid w:val="00AC79FA"/>
    <w:rsid w:val="00AC7F72"/>
    <w:rsid w:val="00AD6FD8"/>
    <w:rsid w:val="00AE0457"/>
    <w:rsid w:val="00AE4985"/>
    <w:rsid w:val="00AE4B73"/>
    <w:rsid w:val="00AE6E69"/>
    <w:rsid w:val="00AF03A0"/>
    <w:rsid w:val="00AF15AC"/>
    <w:rsid w:val="00AF1965"/>
    <w:rsid w:val="00AF58E9"/>
    <w:rsid w:val="00B10DBD"/>
    <w:rsid w:val="00B13F8F"/>
    <w:rsid w:val="00B16D8D"/>
    <w:rsid w:val="00B217DA"/>
    <w:rsid w:val="00B24FE9"/>
    <w:rsid w:val="00B261CB"/>
    <w:rsid w:val="00B26D8A"/>
    <w:rsid w:val="00B26E26"/>
    <w:rsid w:val="00B27AE9"/>
    <w:rsid w:val="00B32780"/>
    <w:rsid w:val="00B32C8A"/>
    <w:rsid w:val="00B351F5"/>
    <w:rsid w:val="00B40435"/>
    <w:rsid w:val="00B454B9"/>
    <w:rsid w:val="00B45855"/>
    <w:rsid w:val="00B45A38"/>
    <w:rsid w:val="00B47569"/>
    <w:rsid w:val="00B47B6A"/>
    <w:rsid w:val="00B50C4E"/>
    <w:rsid w:val="00B531E1"/>
    <w:rsid w:val="00B71A82"/>
    <w:rsid w:val="00B73D46"/>
    <w:rsid w:val="00B75042"/>
    <w:rsid w:val="00B75A4D"/>
    <w:rsid w:val="00B7776D"/>
    <w:rsid w:val="00B77B4C"/>
    <w:rsid w:val="00B80159"/>
    <w:rsid w:val="00B83644"/>
    <w:rsid w:val="00B83B86"/>
    <w:rsid w:val="00B91B77"/>
    <w:rsid w:val="00B931D7"/>
    <w:rsid w:val="00B94765"/>
    <w:rsid w:val="00B95470"/>
    <w:rsid w:val="00B95A15"/>
    <w:rsid w:val="00B96B7B"/>
    <w:rsid w:val="00BA7721"/>
    <w:rsid w:val="00BB249C"/>
    <w:rsid w:val="00BB312A"/>
    <w:rsid w:val="00BB738F"/>
    <w:rsid w:val="00BB7951"/>
    <w:rsid w:val="00BC192F"/>
    <w:rsid w:val="00BC4219"/>
    <w:rsid w:val="00BD0265"/>
    <w:rsid w:val="00BD0E38"/>
    <w:rsid w:val="00BD27FF"/>
    <w:rsid w:val="00BD3BF1"/>
    <w:rsid w:val="00BD4005"/>
    <w:rsid w:val="00BD443F"/>
    <w:rsid w:val="00BD601A"/>
    <w:rsid w:val="00BE2C8F"/>
    <w:rsid w:val="00BE535D"/>
    <w:rsid w:val="00BF0570"/>
    <w:rsid w:val="00BF4BCA"/>
    <w:rsid w:val="00BF5843"/>
    <w:rsid w:val="00BF7E69"/>
    <w:rsid w:val="00C02B57"/>
    <w:rsid w:val="00C033BB"/>
    <w:rsid w:val="00C04413"/>
    <w:rsid w:val="00C052C6"/>
    <w:rsid w:val="00C05652"/>
    <w:rsid w:val="00C21DEC"/>
    <w:rsid w:val="00C231DB"/>
    <w:rsid w:val="00C30F78"/>
    <w:rsid w:val="00C32DB6"/>
    <w:rsid w:val="00C33647"/>
    <w:rsid w:val="00C431C4"/>
    <w:rsid w:val="00C456DF"/>
    <w:rsid w:val="00C4746B"/>
    <w:rsid w:val="00C509AE"/>
    <w:rsid w:val="00C52E99"/>
    <w:rsid w:val="00C57C2B"/>
    <w:rsid w:val="00C6007C"/>
    <w:rsid w:val="00C629F6"/>
    <w:rsid w:val="00C665CC"/>
    <w:rsid w:val="00C73630"/>
    <w:rsid w:val="00C74541"/>
    <w:rsid w:val="00C77255"/>
    <w:rsid w:val="00C775B4"/>
    <w:rsid w:val="00C77D0B"/>
    <w:rsid w:val="00C82ABC"/>
    <w:rsid w:val="00C82E86"/>
    <w:rsid w:val="00C831DE"/>
    <w:rsid w:val="00C835C8"/>
    <w:rsid w:val="00C8433D"/>
    <w:rsid w:val="00C84A5E"/>
    <w:rsid w:val="00C87F7D"/>
    <w:rsid w:val="00C93DFB"/>
    <w:rsid w:val="00C94419"/>
    <w:rsid w:val="00C95BBA"/>
    <w:rsid w:val="00C95D5D"/>
    <w:rsid w:val="00C95F5C"/>
    <w:rsid w:val="00C97B08"/>
    <w:rsid w:val="00CA1651"/>
    <w:rsid w:val="00CA40DE"/>
    <w:rsid w:val="00CA6B7C"/>
    <w:rsid w:val="00CB1D8A"/>
    <w:rsid w:val="00CB2157"/>
    <w:rsid w:val="00CB333F"/>
    <w:rsid w:val="00CB6D0A"/>
    <w:rsid w:val="00CC18B8"/>
    <w:rsid w:val="00CD2559"/>
    <w:rsid w:val="00CD3A54"/>
    <w:rsid w:val="00CD768B"/>
    <w:rsid w:val="00CE18F9"/>
    <w:rsid w:val="00CE1E5A"/>
    <w:rsid w:val="00CE48C5"/>
    <w:rsid w:val="00CE6A2A"/>
    <w:rsid w:val="00CF01C1"/>
    <w:rsid w:val="00CF104F"/>
    <w:rsid w:val="00CF3C04"/>
    <w:rsid w:val="00CF4C1E"/>
    <w:rsid w:val="00CF7CB6"/>
    <w:rsid w:val="00D05594"/>
    <w:rsid w:val="00D11195"/>
    <w:rsid w:val="00D13766"/>
    <w:rsid w:val="00D22A93"/>
    <w:rsid w:val="00D258D0"/>
    <w:rsid w:val="00D3008B"/>
    <w:rsid w:val="00D3394F"/>
    <w:rsid w:val="00D3591C"/>
    <w:rsid w:val="00D36CD6"/>
    <w:rsid w:val="00D40364"/>
    <w:rsid w:val="00D4043B"/>
    <w:rsid w:val="00D4088F"/>
    <w:rsid w:val="00D45938"/>
    <w:rsid w:val="00D5250B"/>
    <w:rsid w:val="00D52B9A"/>
    <w:rsid w:val="00D538A8"/>
    <w:rsid w:val="00D54160"/>
    <w:rsid w:val="00D56A2A"/>
    <w:rsid w:val="00D577AD"/>
    <w:rsid w:val="00D623C6"/>
    <w:rsid w:val="00D62FEA"/>
    <w:rsid w:val="00D63941"/>
    <w:rsid w:val="00D660CB"/>
    <w:rsid w:val="00D66912"/>
    <w:rsid w:val="00D716E6"/>
    <w:rsid w:val="00D72664"/>
    <w:rsid w:val="00D76F38"/>
    <w:rsid w:val="00D81209"/>
    <w:rsid w:val="00D82045"/>
    <w:rsid w:val="00D824BC"/>
    <w:rsid w:val="00D826F0"/>
    <w:rsid w:val="00D9787A"/>
    <w:rsid w:val="00DA0DDD"/>
    <w:rsid w:val="00DA2734"/>
    <w:rsid w:val="00DA63EA"/>
    <w:rsid w:val="00DB0D40"/>
    <w:rsid w:val="00DB3031"/>
    <w:rsid w:val="00DB5BF1"/>
    <w:rsid w:val="00DB5E36"/>
    <w:rsid w:val="00DB702F"/>
    <w:rsid w:val="00DC01A6"/>
    <w:rsid w:val="00DC1836"/>
    <w:rsid w:val="00DC58F4"/>
    <w:rsid w:val="00DC5C73"/>
    <w:rsid w:val="00DC65BD"/>
    <w:rsid w:val="00DC7F8F"/>
    <w:rsid w:val="00DD16E2"/>
    <w:rsid w:val="00DD57B9"/>
    <w:rsid w:val="00DD74BB"/>
    <w:rsid w:val="00DD7512"/>
    <w:rsid w:val="00DE129C"/>
    <w:rsid w:val="00DE224F"/>
    <w:rsid w:val="00DE2843"/>
    <w:rsid w:val="00DE2B11"/>
    <w:rsid w:val="00DF0940"/>
    <w:rsid w:val="00E000EF"/>
    <w:rsid w:val="00E00B61"/>
    <w:rsid w:val="00E01302"/>
    <w:rsid w:val="00E03231"/>
    <w:rsid w:val="00E045DD"/>
    <w:rsid w:val="00E04B0B"/>
    <w:rsid w:val="00E1081C"/>
    <w:rsid w:val="00E10CE2"/>
    <w:rsid w:val="00E113FE"/>
    <w:rsid w:val="00E124D3"/>
    <w:rsid w:val="00E12ECB"/>
    <w:rsid w:val="00E17E09"/>
    <w:rsid w:val="00E26371"/>
    <w:rsid w:val="00E31826"/>
    <w:rsid w:val="00E324EC"/>
    <w:rsid w:val="00E456A8"/>
    <w:rsid w:val="00E5340E"/>
    <w:rsid w:val="00E552A7"/>
    <w:rsid w:val="00E55EF2"/>
    <w:rsid w:val="00E562A2"/>
    <w:rsid w:val="00E609A6"/>
    <w:rsid w:val="00E624CB"/>
    <w:rsid w:val="00E649E3"/>
    <w:rsid w:val="00E67FDB"/>
    <w:rsid w:val="00E729DD"/>
    <w:rsid w:val="00E73B40"/>
    <w:rsid w:val="00E76E2D"/>
    <w:rsid w:val="00E839B2"/>
    <w:rsid w:val="00E916C8"/>
    <w:rsid w:val="00E94226"/>
    <w:rsid w:val="00EA01B3"/>
    <w:rsid w:val="00EA0E1C"/>
    <w:rsid w:val="00EA15D8"/>
    <w:rsid w:val="00EB0D9F"/>
    <w:rsid w:val="00EB14F7"/>
    <w:rsid w:val="00EB1EE5"/>
    <w:rsid w:val="00EB2D94"/>
    <w:rsid w:val="00EB2FD6"/>
    <w:rsid w:val="00EB4340"/>
    <w:rsid w:val="00EB4606"/>
    <w:rsid w:val="00EC15B7"/>
    <w:rsid w:val="00EC50F5"/>
    <w:rsid w:val="00EC6028"/>
    <w:rsid w:val="00ED0B2D"/>
    <w:rsid w:val="00EE0399"/>
    <w:rsid w:val="00EE6573"/>
    <w:rsid w:val="00EF2333"/>
    <w:rsid w:val="00EF2F13"/>
    <w:rsid w:val="00EF4CB5"/>
    <w:rsid w:val="00EF53EA"/>
    <w:rsid w:val="00EF5743"/>
    <w:rsid w:val="00EF59FA"/>
    <w:rsid w:val="00EF7D57"/>
    <w:rsid w:val="00F04118"/>
    <w:rsid w:val="00F06099"/>
    <w:rsid w:val="00F061C9"/>
    <w:rsid w:val="00F121BA"/>
    <w:rsid w:val="00F16B95"/>
    <w:rsid w:val="00F176A9"/>
    <w:rsid w:val="00F201D5"/>
    <w:rsid w:val="00F20EBD"/>
    <w:rsid w:val="00F22E92"/>
    <w:rsid w:val="00F23357"/>
    <w:rsid w:val="00F25BBE"/>
    <w:rsid w:val="00F25DEE"/>
    <w:rsid w:val="00F26611"/>
    <w:rsid w:val="00F27032"/>
    <w:rsid w:val="00F31F3D"/>
    <w:rsid w:val="00F4624C"/>
    <w:rsid w:val="00F55635"/>
    <w:rsid w:val="00F676AA"/>
    <w:rsid w:val="00F678A1"/>
    <w:rsid w:val="00F73DD5"/>
    <w:rsid w:val="00F74B7C"/>
    <w:rsid w:val="00F765B0"/>
    <w:rsid w:val="00F775A4"/>
    <w:rsid w:val="00F82948"/>
    <w:rsid w:val="00F83BDE"/>
    <w:rsid w:val="00F84A04"/>
    <w:rsid w:val="00F87F92"/>
    <w:rsid w:val="00F91109"/>
    <w:rsid w:val="00FA23C7"/>
    <w:rsid w:val="00FA42C5"/>
    <w:rsid w:val="00FB02FD"/>
    <w:rsid w:val="00FB04AF"/>
    <w:rsid w:val="00FB47E1"/>
    <w:rsid w:val="00FC0F2D"/>
    <w:rsid w:val="00FC18A2"/>
    <w:rsid w:val="00FD50DC"/>
    <w:rsid w:val="00FD5B6E"/>
    <w:rsid w:val="00FD65C1"/>
    <w:rsid w:val="00FF3B71"/>
    <w:rsid w:val="00FF4460"/>
    <w:rsid w:val="00FF5220"/>
    <w:rsid w:val="00F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E5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2E528B"/>
    <w:rPr>
      <w:rFonts w:ascii="Courier New" w:hAnsi="Courier New" w:cs="Times New Roman"/>
      <w:noProof/>
      <w:kern w:val="0"/>
      <w:sz w:val="16"/>
      <w:szCs w:val="20"/>
    </w:rPr>
  </w:style>
  <w:style w:type="paragraph" w:customStyle="1" w:styleId="TAH">
    <w:name w:val="TAH"/>
    <w:basedOn w:val="a"/>
    <w:link w:val="TAHC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customStyle="1" w:styleId="TALCharChar">
    <w:name w:val="TAL Char Char"/>
    <w:basedOn w:val="a"/>
    <w:link w:val="TALCharCharCh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CharChar">
    <w:name w:val="TAL Char Char Char"/>
    <w:link w:val="TALCharChar"/>
    <w:rsid w:val="001D0B8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D0B81"/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E10CE2"/>
    <w:pPr>
      <w:widowControl/>
      <w:wordWrap/>
      <w:autoSpaceDE/>
      <w:autoSpaceDN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0B3F3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3F3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0B3F3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0B3F3A"/>
    <w:rPr>
      <w:rFonts w:ascii="Arial" w:eastAsia="MS Mincho" w:hAnsi="Arial" w:cs="Times New Roman"/>
      <w:noProof/>
      <w:kern w:val="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E5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2E528B"/>
    <w:rPr>
      <w:rFonts w:ascii="Courier New" w:hAnsi="Courier New" w:cs="Times New Roman"/>
      <w:noProof/>
      <w:kern w:val="0"/>
      <w:sz w:val="16"/>
      <w:szCs w:val="20"/>
    </w:rPr>
  </w:style>
  <w:style w:type="paragraph" w:customStyle="1" w:styleId="TAH">
    <w:name w:val="TAH"/>
    <w:basedOn w:val="a"/>
    <w:link w:val="TAHC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customStyle="1" w:styleId="TALCharChar">
    <w:name w:val="TAL Char Char"/>
    <w:basedOn w:val="a"/>
    <w:link w:val="TALCharCharCh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CharChar">
    <w:name w:val="TAL Char Char Char"/>
    <w:link w:val="TALCharChar"/>
    <w:rsid w:val="001D0B8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D0B81"/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E10CE2"/>
    <w:pPr>
      <w:widowControl/>
      <w:wordWrap/>
      <w:autoSpaceDE/>
      <w:autoSpaceDN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0B3F3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3F3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0B3F3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0B3F3A"/>
    <w:rPr>
      <w:rFonts w:ascii="Arial" w:eastAsia="MS Mincho" w:hAnsi="Arial" w:cs="Times New Roman"/>
      <w:noProof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E596F-5A51-49C6-8770-5F4AE9CE4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Jung-Min Moon</cp:lastModifiedBy>
  <cp:revision>112</cp:revision>
  <dcterms:created xsi:type="dcterms:W3CDTF">2017-03-23T06:53:00Z</dcterms:created>
  <dcterms:modified xsi:type="dcterms:W3CDTF">2017-05-12T04:50:00Z</dcterms:modified>
</cp:coreProperties>
</file>